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ind w:left="39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840" w:right="146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Commission File Number 001-40974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460"/>
        <w:spacing w:after="0"/>
        <w:rPr>
          <w:sz w:val="20"/>
          <w:szCs w:val="20"/>
          <w:color w:val="auto"/>
        </w:rPr>
      </w:pPr>
      <w:r>
        <w:rPr>
          <w:rFonts w:ascii="Arial" w:cs="Arial" w:eastAsia="Arial" w:hAnsi="Arial"/>
          <w:sz w:val="43"/>
          <w:szCs w:val="43"/>
          <w:b w:val="1"/>
          <w:bCs w:val="1"/>
          <w:color w:val="auto"/>
        </w:rPr>
        <w:t>GLOBALFOUNDRIES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400 Stonebreak Road Extension</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Malta, NY 12020</w:t>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3860"/>
        <w:spacing w:after="0" w:line="207" w:lineRule="exact"/>
        <w:tabs>
          <w:tab w:leader="none" w:pos="52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368" w:right="1440" w:bottom="1440" w:gutter="0" w:footer="0" w:header="0"/>
        </w:sectPr>
      </w:pPr>
    </w:p>
    <w:bookmarkStart w:id="1" w:name="page2"/>
    <w:bookmarkEnd w:id="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Attached hereto is the following exhibit.</w:t>
      </w:r>
    </w:p>
    <w:p>
      <w:pPr>
        <w:spacing w:after="0" w:line="252" w:lineRule="exact"/>
        <w:rPr>
          <w:sz w:val="20"/>
          <w:szCs w:val="20"/>
          <w:color w:val="auto"/>
        </w:rPr>
      </w:pPr>
    </w:p>
    <w:p>
      <w:pPr>
        <w:spacing w:after="0"/>
        <w:tabs>
          <w:tab w:leader="none" w:pos="130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issued by Registrant on November 30, 2021.</w:t>
        </w:r>
      </w:hyperlink>
    </w:p>
    <w:p>
      <w:pPr>
        <w:sectPr>
          <w:pgSz w:w="11900" w:h="16838" w:orient="portrait"/>
          <w:cols w:equalWidth="0" w:num="1">
            <w:col w:w="10019"/>
          </w:cols>
          <w:pgMar w:left="4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GLOBALFOUNDRIES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November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Caulfield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Thomas Caulfield</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08280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828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GlobalFoundries Reports Third Quarter 2021 Financial Results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Record Adjusted Gross and Adjusted EBITDA Margins</w:t>
      </w:r>
    </w:p>
    <w:p>
      <w:pPr>
        <w:spacing w:after="0" w:line="207"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Malta, New York</w:t>
      </w:r>
      <w:r>
        <w:rPr>
          <w:rFonts w:ascii="Arial" w:cs="Arial" w:eastAsia="Arial" w:hAnsi="Arial"/>
          <w:sz w:val="18"/>
          <w:szCs w:val="18"/>
          <w:color w:val="auto"/>
        </w:rPr>
        <w:t>, November 30, 2021 - GlobalFoundries Inc. (GF) (Nasdaq: GFS) today announced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Third Quarter Financial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$1.7 billion, up 5% sequentially, reflecting ongoing demand for our differentiated technologies.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gross margins of 17.6% and adjusted gross margins of 18%.</w:t>
      </w:r>
    </w:p>
    <w:p>
      <w:pPr>
        <w:spacing w:after="0" w:line="130" w:lineRule="exact"/>
        <w:rPr>
          <w:rFonts w:ascii="Arial" w:cs="Arial" w:eastAsia="Arial" w:hAnsi="Arial"/>
          <w:sz w:val="18"/>
          <w:szCs w:val="18"/>
          <w:color w:val="auto"/>
        </w:rPr>
      </w:pPr>
    </w:p>
    <w:p>
      <w:pPr>
        <w:ind w:left="964" w:right="50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adjusted EBITDA margins of 30% which grew 84% year-over-year demonstrating continued progress to our target operating model.</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flows from operations of $1.1 billion.</w:t>
      </w:r>
    </w:p>
    <w:p>
      <w:pPr>
        <w:spacing w:after="0" w:line="225" w:lineRule="exact"/>
        <w:rPr>
          <w:sz w:val="20"/>
          <w:szCs w:val="20"/>
          <w:color w:val="auto"/>
        </w:rPr>
      </w:pPr>
    </w:p>
    <w:p>
      <w:pPr>
        <w:ind w:left="4" w:right="140"/>
        <w:spacing w:after="0" w:line="275" w:lineRule="auto"/>
        <w:rPr>
          <w:sz w:val="20"/>
          <w:szCs w:val="20"/>
          <w:color w:val="auto"/>
        </w:rPr>
      </w:pPr>
      <w:r>
        <w:rPr>
          <w:rFonts w:ascii="Arial" w:cs="Arial" w:eastAsia="Arial" w:hAnsi="Arial"/>
          <w:sz w:val="17"/>
          <w:szCs w:val="17"/>
          <w:color w:val="auto"/>
        </w:rPr>
        <w:t>“The third quarter marked the ongoing acceleration of our strategy to lead in the pervasive semiconductor market and demonstrated continued progress towards our target financial model,” said Tom Caulfield, CEO of GF. “Our revenue growth was primarily driven by higher wafer output and continued improvement in mix as our differentiated solutions become a larger portion of our total business. We are also excited to begin our journey as a public company. Our IPO in October was an outcome of more than a decade of dedication and commitment of our more than 15,000 employees to build an at-scale global semiconductor manufacturer with strong technological differentiation.”</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Summary Quarterly Results (in millions USD, except per share amounts)</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Q3’20</w:t>
            </w: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Q2’21</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Q3’21</w:t>
            </w:r>
          </w:p>
        </w:tc>
        <w:tc>
          <w:tcPr>
            <w:tcW w:w="10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Year-over-year</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Sequential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Q3’20 vs Q3’21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Q2’21 vs Q3’21</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$1,091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$1,620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$1,700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$609</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$80</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2"/>
              </w:rPr>
              <w:t>($134)</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9"/>
              </w:rPr>
              <w:t>$231</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9"/>
              </w:rPr>
              <w:t>$300</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$434</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325%</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6"/>
              </w:rPr>
              <w:t>$69</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30%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(loss)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$306</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Adjusted gross margin</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95"/>
              </w:rPr>
              <w:t>(12%)</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i w:val="1"/>
                <w:iCs w:val="1"/>
                <w:color w:val="auto"/>
                <w:w w:val="94"/>
              </w:rPr>
              <w:t>16%</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i w:val="1"/>
                <w:iCs w:val="1"/>
                <w:color w:val="auto"/>
                <w:w w:val="94"/>
              </w:rPr>
              <w:t>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92"/>
              </w:rPr>
              <w:t>+3029bps</w:t>
            </w:r>
          </w:p>
        </w:tc>
        <w:tc>
          <w:tcPr>
            <w:tcW w:w="4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i w:val="1"/>
                <w:iCs w:val="1"/>
                <w:color w:val="auto"/>
                <w:w w:val="91"/>
              </w:rPr>
              <w:t>+155bps</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($350)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$52</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$402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Adjusted operating profit (loss)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2"/>
              </w:rPr>
              <w:t>($350)</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$41</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6"/>
              </w:rPr>
              <w:t>$81</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$431</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123%</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6"/>
              </w:rPr>
              <w:t>$40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98%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margin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5"/>
              </w:rPr>
              <w:t>(32%)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2"/>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i w:val="1"/>
                <w:iCs w:val="1"/>
                <w:color w:val="auto"/>
                <w:w w:val="92"/>
              </w:rPr>
              <w:t>+3684bps</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+224bps</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2"/>
              </w:rPr>
              <w:t>($293)</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2"/>
              </w:rPr>
              <w:t>($174)</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9"/>
              </w:rPr>
              <w:t>$5</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$299</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102%</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$179</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103%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$34</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$328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$64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213%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Adjusted net income (loss) margin</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95"/>
              </w:rPr>
              <w:t>(27%)</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i w:val="1"/>
                <w:iCs w:val="1"/>
                <w:color w:val="auto"/>
                <w:w w:val="94"/>
              </w:rPr>
              <w:t>(2%)</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i w:val="1"/>
                <w:iCs w:val="1"/>
                <w:color w:val="auto"/>
                <w:w w:val="92"/>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92"/>
              </w:rPr>
              <w:t>+2891bps</w:t>
            </w:r>
          </w:p>
        </w:tc>
        <w:tc>
          <w:tcPr>
            <w:tcW w:w="4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i w:val="1"/>
                <w:iCs w:val="1"/>
                <w:color w:val="auto"/>
                <w:w w:val="91"/>
              </w:rPr>
              <w:t>+386bps</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 (EPS)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($0.35)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$0.01</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$0.59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$0.36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Adjusted EPS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1"/>
              </w:rPr>
              <w:t>($0.58)</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94"/>
              </w:rPr>
              <w:t>($0.06)</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3"/>
              </w:rPr>
              <w:t>$0.07</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$0.65</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112%</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$0.13</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217%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$275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$466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$505</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$230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Adjusted EBITDA margin</w:t>
            </w:r>
          </w:p>
        </w:tc>
        <w:tc>
          <w:tcPr>
            <w:tcW w:w="520" w:type="dxa"/>
            <w:vAlign w:val="bottom"/>
          </w:tcPr>
          <w:p>
            <w:pPr>
              <w:jc w:val="center"/>
              <w:spacing w:after="0"/>
              <w:rPr>
                <w:sz w:val="20"/>
                <w:szCs w:val="20"/>
                <w:color w:val="auto"/>
              </w:rPr>
            </w:pPr>
            <w:r>
              <w:rPr>
                <w:rFonts w:ascii="Arial" w:cs="Arial" w:eastAsia="Arial" w:hAnsi="Arial"/>
                <w:sz w:val="18"/>
                <w:szCs w:val="18"/>
                <w:i w:val="1"/>
                <w:iCs w:val="1"/>
                <w:color w:val="auto"/>
                <w:w w:val="94"/>
              </w:rPr>
              <w:t>25%</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i w:val="1"/>
                <w:iCs w:val="1"/>
                <w:color w:val="auto"/>
                <w:w w:val="94"/>
              </w:rPr>
              <w:t>29%</w:t>
            </w:r>
          </w:p>
        </w:tc>
        <w:tc>
          <w:tcPr>
            <w:tcW w:w="1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i w:val="1"/>
                <w:iCs w:val="1"/>
                <w:color w:val="auto"/>
                <w:w w:val="94"/>
              </w:rPr>
              <w:t>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91"/>
              </w:rPr>
              <w:t>+450bps</w:t>
            </w:r>
          </w:p>
        </w:tc>
        <w:tc>
          <w:tcPr>
            <w:tcW w:w="4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i w:val="1"/>
                <w:iCs w:val="1"/>
                <w:color w:val="auto"/>
                <w:w w:val="90"/>
              </w:rPr>
              <w:t>+96bps</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from operations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$267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$1,109</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$842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$675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156%</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Wafer shipments (300MM Equivalent)</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6"/>
              </w:rPr>
              <w:t>478</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6"/>
              </w:rPr>
              <w:t>595</w:t>
            </w: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6"/>
              </w:rPr>
              <w:t>609</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131</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27%</w:t>
            </w:r>
          </w:p>
        </w:tc>
        <w:tc>
          <w:tcPr>
            <w:tcW w:w="1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14</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Any discrepancies in totals or in percentages are due to rounding.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Recent Business Highlights:</w:t>
      </w:r>
    </w:p>
    <w:p>
      <w:pPr>
        <w:spacing w:after="0" w:line="135" w:lineRule="exact"/>
        <w:rPr>
          <w:sz w:val="20"/>
          <w:szCs w:val="20"/>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GF began trading on the Nasdaq Stock Market under the ticker “GFS” on October 28.</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6"/>
          <w:szCs w:val="16"/>
          <w:color w:val="auto"/>
        </w:rPr>
      </w:pPr>
      <w:r>
        <w:rPr>
          <w:rFonts w:ascii="Arial" w:cs="Arial" w:eastAsia="Arial" w:hAnsi="Arial"/>
          <w:sz w:val="16"/>
          <w:szCs w:val="16"/>
          <w:color w:val="auto"/>
        </w:rPr>
        <w:t>GF and Qualcomm signed an agreement to extend the companies’ successful collaboration to deliver advanced 5G RF front-end products.</w:t>
      </w:r>
    </w:p>
    <w:p>
      <w:pPr>
        <w:spacing w:after="0" w:line="153" w:lineRule="exact"/>
        <w:rPr>
          <w:rFonts w:ascii="Arial" w:cs="Arial" w:eastAsia="Arial" w:hAnsi="Arial"/>
          <w:sz w:val="16"/>
          <w:szCs w:val="16"/>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GF 22FDX</w:t>
      </w:r>
      <w:r>
        <w:rPr>
          <w:rFonts w:ascii="Arial" w:cs="Arial" w:eastAsia="Arial" w:hAnsi="Arial"/>
          <w:sz w:val="15"/>
          <w:szCs w:val="15"/>
          <w:color w:val="auto"/>
        </w:rPr>
        <w:t>™</w:t>
      </w:r>
      <w:r>
        <w:rPr>
          <w:rFonts w:ascii="Arial" w:cs="Arial" w:eastAsia="Arial" w:hAnsi="Arial"/>
          <w:sz w:val="18"/>
          <w:szCs w:val="18"/>
          <w:color w:val="auto"/>
        </w:rPr>
        <w:t xml:space="preserve"> platform is Auto Grade 1 qualified at Fab 1 in Dresden, Germany.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GF set a “Journey to Zero Carbon” goal to reduce greenhouse gas emissions by 25% from 2020 to 2030.</w:t>
      </w:r>
    </w:p>
    <w:p>
      <w:pPr>
        <w:sectPr>
          <w:pgSz w:w="11900" w:h="16838" w:orient="portrait"/>
          <w:cols w:equalWidth="0" w:num="1">
            <w:col w:w="11024"/>
          </w:cols>
          <w:pgMar w:left="436" w:top="121" w:right="439" w:bottom="1440" w:gutter="0" w:footer="0" w:header="0"/>
        </w:sectPr>
      </w:pPr>
    </w:p>
    <w:bookmarkStart w:id="4" w:name="page5"/>
    <w:bookmarkEnd w:id="4"/>
    <w:p>
      <w:pPr>
        <w:ind w:left="964" w:right="120" w:hanging="424"/>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GF appointed Elissa Murphy to its Board of Directors. Ms. Murphy is currently a vice president of Engineering at Google, and previously served as the chief technology officer and executive vice president of Cloud Platforms at GoDaddy.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of Fourth Quarter 2021 Outlook:</w:t>
      </w:r>
    </w:p>
    <w:p>
      <w:pPr>
        <w:spacing w:after="0" w:line="135"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expected to be $1,800 million to $1,830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expected to be $335 million to $350 million; adjusted gross profit expected to be $344 million to $359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expected to be $55 million to $75 million; adjusted operating profit expected to be $92 million to $112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expected to be $13 million to $33 million, adjusted net income expected to be $50 million to $70 million.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Basic earnings-per-share (EPS) for the quarter expected to be $0.02 to $0.06; adjusted basic EPS expected to be $0.10 to $0.13.</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expected to be $510 million to $530 million.</w:t>
      </w:r>
    </w:p>
    <w:p>
      <w:pPr>
        <w:spacing w:after="0" w:line="130" w:lineRule="exact"/>
        <w:rPr>
          <w:rFonts w:ascii="Arial" w:cs="Arial" w:eastAsia="Arial" w:hAnsi="Arial"/>
          <w:sz w:val="18"/>
          <w:szCs w:val="18"/>
          <w:color w:val="auto"/>
        </w:rPr>
      </w:pPr>
    </w:p>
    <w:p>
      <w:pPr>
        <w:ind w:left="964" w:right="140" w:hanging="424"/>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Share-based compensation in cost of revenues expected to be approximately $9 million; Share-based compensation in operating expenses expected to be approximately $28 million (approximately $2 million in Research and Development and approximately $26 million in Sales, Marketing, General and Administrative).</w:t>
      </w:r>
    </w:p>
    <w:p>
      <w:pPr>
        <w:spacing w:after="0" w:line="292"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i w:val="1"/>
          <w:iCs w:val="1"/>
          <w:color w:val="auto"/>
        </w:rPr>
        <w:t>The guidance provided above contains forward-looking statements as defined in the Securities Exchange Act of 1934 and is subject to the safe harbors created therein. The guidance includes our management’s beliefs and assumptions and is based on information currently available. GF has not provided a reconciliation of its Fourth Quarter fiscal quarter outlook for non-International Financial Reporting Standards (IFRS) gross margin, non-IFRS operating profit margin, non-IFRS EPS or Non-IFRS Adjusted EBITDA Margin because estimates of all of the reconciling items cannot be provided without unreasonable efforts. It is difficult to reasonably provide a forward-looking estimate between such forward-looking non-IFRS measures and the comparable forward-looking IFRS measures. Certain factors that are materially significant to GF’s ability to estimate these items are out of its control and/or cannot be reasonably predicted.</w:t>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Statements of Operations (IFRS Unaudited)</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USD, except for share and per share amounts)</w:t>
            </w:r>
          </w:p>
        </w:tc>
        <w:tc>
          <w:tcPr>
            <w:tcW w:w="29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16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September 30, 2020</w:t>
            </w:r>
          </w:p>
        </w:tc>
        <w:tc>
          <w:tcPr>
            <w:tcW w:w="1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w:t>
            </w:r>
          </w:p>
        </w:tc>
        <w:tc>
          <w:tcPr>
            <w:tcW w:w="4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Cost of sales</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1225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(350)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 net</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Net income (loss) inc. NCI</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(293)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($0.58)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Shares used in earnings (loss) per share calculation</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500,000,000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Diluted</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500,000,000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511,943,050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Any discrepancies in totals or in percentages are due to rounding.</w:t>
      </w:r>
    </w:p>
    <w:p>
      <w:pPr>
        <w:sectPr>
          <w:pgSz w:w="11900" w:h="16838" w:orient="portrait"/>
          <w:cols w:equalWidth="0" w:num="1">
            <w:col w:w="11024"/>
          </w:cols>
          <w:pgMar w:left="436" w:top="274"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Statements of Financial Position (IFRS Unaudited)</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780" w:type="dxa"/>
            <w:vAlign w:val="bottom"/>
          </w:tcPr>
          <w:p>
            <w:pPr>
              <w:spacing w:after="0"/>
              <w:rPr>
                <w:sz w:val="20"/>
                <w:szCs w:val="20"/>
                <w:color w:val="auto"/>
              </w:rPr>
            </w:pPr>
            <w:r>
              <w:rPr>
                <w:rFonts w:ascii="Arial" w:cs="Arial" w:eastAsia="Arial" w:hAnsi="Arial"/>
                <w:sz w:val="14"/>
                <w:szCs w:val="14"/>
                <w:b w:val="1"/>
                <w:bCs w:val="1"/>
                <w:color w:val="auto"/>
              </w:rPr>
              <w:t>(in millions USD)</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2021</w:t>
            </w: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908</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Receivables, prepayments and other</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920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2,987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3,156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444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8,226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665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9,335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9,491</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12,322</w:t>
            </w:r>
          </w:p>
        </w:tc>
        <w:tc>
          <w:tcPr>
            <w:tcW w:w="7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12,647</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382</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finance lease obligations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1,383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1,958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1,896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2,424</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Noncurrent portion of long-term debt</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1,956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1,725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lease obligations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3,184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3,721</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Common stock/additional paid-in capital</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(15,219)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(15,512)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Loan from shareholder and other</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10,743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10,127</w:t>
            </w:r>
          </w:p>
        </w:tc>
      </w:t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12,322</w:t>
            </w:r>
          </w:p>
        </w:tc>
        <w:tc>
          <w:tcPr>
            <w:tcW w:w="7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Any discrepancies in totals or in percentages are due to rounding.</w:t>
      </w:r>
    </w:p>
    <w:p>
      <w:pPr>
        <w:spacing w:after="0" w:line="22" w:lineRule="exact"/>
        <w:rPr>
          <w:sz w:val="20"/>
          <w:szCs w:val="20"/>
          <w:color w:val="auto"/>
        </w:rPr>
      </w:pPr>
    </w:p>
    <w:p>
      <w:pPr>
        <w:ind w:left="424" w:right="200" w:hanging="424"/>
        <w:spacing w:after="0" w:line="256"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On October 3, 2021, GF executed the conversion of the entire Shareholder Loans balance of $10,112,687 thousand under our loan facilities with Mubadala Investment Company PJSC into additional paid-in-capital, which did not have an impact on shares outstanding or have any dilutive effects, as no additional shares were issued.</w:t>
      </w:r>
    </w:p>
    <w:p>
      <w:pPr>
        <w:sectPr>
          <w:pgSz w:w="11900" w:h="16838" w:orient="portrait"/>
          <w:cols w:equalWidth="0" w:num="1">
            <w:col w:w="11024"/>
          </w:cols>
          <w:pgMar w:left="436"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of Cash Flows (IFRS Unaudited)</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USD)</w:t>
            </w:r>
          </w:p>
        </w:tc>
        <w:tc>
          <w:tcPr>
            <w:tcW w:w="33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660" w:type="dxa"/>
            <w:vAlign w:val="bottom"/>
            <w:gridSpan w:val="3"/>
            <w:vMerge w:val="continue"/>
          </w:tcPr>
          <w:p>
            <w:pPr>
              <w:spacing w:after="0"/>
              <w:rPr>
                <w:sz w:val="14"/>
                <w:szCs w:val="14"/>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September 30, 2020</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196"/>
        </w:trPr>
        <w:tc>
          <w:tcPr>
            <w:tcW w:w="76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($293)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612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Finance expense, net</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Other non-cash operating activities</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(58)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net working capital</w:t>
            </w: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$267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$1,109</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Purchases of property, plant, equipment, and intangible assets</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($123)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($123)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Repayments of shareholder loan</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debt, net</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Other financing activities</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(287)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Effect of exchange rate changes</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(140)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40" w:type="dxa"/>
            <w:vAlign w:val="bottom"/>
            <w:gridSpan w:val="2"/>
          </w:tcPr>
          <w:p>
            <w:pPr>
              <w:jc w:val="right"/>
              <w:ind w:right="840"/>
              <w:spacing w:after="0"/>
              <w:rPr>
                <w:sz w:val="20"/>
                <w:szCs w:val="20"/>
                <w:color w:val="auto"/>
              </w:rPr>
            </w:pPr>
            <w:r>
              <w:rPr>
                <w:rFonts w:ascii="Arial" w:cs="Arial" w:eastAsia="Arial" w:hAnsi="Arial"/>
                <w:sz w:val="18"/>
                <w:szCs w:val="18"/>
                <w:color w:val="auto"/>
              </w:rPr>
              <w:t>1,269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$1,129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5"/>
                <w:szCs w:val="15"/>
                <w:color w:val="auto"/>
              </w:rPr>
              <w:t>1</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Any discrepancies in totals or in percentages are due to rounding.</w:t>
            </w: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Non-IFRS Reconciliation</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 USD)</w:t>
            </w: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4"/>
            <w:vMerge w:val="continue"/>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340" w:type="dxa"/>
            <w:vAlign w:val="bottom"/>
          </w:tcPr>
          <w:p>
            <w:pPr>
              <w:spacing w:after="0"/>
              <w:rPr>
                <w:sz w:val="12"/>
                <w:szCs w:val="12"/>
                <w:color w:val="auto"/>
              </w:rPr>
            </w:pPr>
          </w:p>
        </w:tc>
        <w:tc>
          <w:tcPr>
            <w:tcW w:w="1560" w:type="dxa"/>
            <w:vAlign w:val="bottom"/>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7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Share 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$36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gross profit (loss)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$267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Operating profit (loss)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4"/>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$144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Adjusted operating profit (loss)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7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($293)</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Share 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$144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($293)</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per share (EPS)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4"/>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$0.29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3"/>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Adjusted earnings (loss) per share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7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40" w:type="dxa"/>
            <w:vAlign w:val="bottom"/>
            <w:gridSpan w:val="5"/>
          </w:tcPr>
          <w:p>
            <w:pPr>
              <w:ind w:left="2040"/>
              <w:spacing w:after="0"/>
              <w:rPr>
                <w:sz w:val="20"/>
                <w:szCs w:val="20"/>
                <w:color w:val="auto"/>
              </w:rPr>
            </w:pPr>
            <w:r>
              <w:rPr>
                <w:rFonts w:ascii="Arial" w:cs="Arial" w:eastAsia="Arial" w:hAnsi="Arial"/>
                <w:sz w:val="18"/>
                <w:szCs w:val="18"/>
                <w:b w:val="1"/>
                <w:bCs w:val="1"/>
                <w:color w:val="auto"/>
                <w:w w:val="93"/>
              </w:rPr>
              <w:t>Reconciliation of Net Income (Loss) to Adjusted EBITDA</w:t>
            </w:r>
            <w:r>
              <w:rPr>
                <w:rFonts w:ascii="Arial" w:cs="Arial" w:eastAsia="Arial" w:hAnsi="Arial"/>
                <w:sz w:val="15"/>
                <w:szCs w:val="15"/>
                <w:b w:val="1"/>
                <w:bCs w:val="1"/>
                <w:color w:val="auto"/>
                <w:w w:val="93"/>
              </w:rPr>
              <w:t>1</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USD)</w:t>
            </w:r>
          </w:p>
        </w:tc>
        <w:tc>
          <w:tcPr>
            <w:tcW w:w="3020" w:type="dxa"/>
            <w:vAlign w:val="bottom"/>
            <w:tcBorders>
              <w:top w:val="single" w:sz="8" w:color="auto"/>
              <w:bottom w:val="single" w:sz="8" w:color="auto"/>
            </w:tcBorders>
            <w:vMerge w:val="restart"/>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gridSpan w:val="3"/>
            <w:vMerge w:val="continue"/>
          </w:tcPr>
          <w:p>
            <w:pPr>
              <w:spacing w:after="0"/>
              <w:rPr>
                <w:sz w:val="12"/>
                <w:szCs w:val="12"/>
                <w:color w:val="auto"/>
              </w:rPr>
            </w:pPr>
          </w:p>
        </w:tc>
        <w:tc>
          <w:tcPr>
            <w:tcW w:w="3020" w:type="dxa"/>
            <w:vAlign w:val="bottom"/>
            <w:vMerge w:val="continue"/>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2020</w:t>
            </w:r>
          </w:p>
        </w:tc>
        <w:tc>
          <w:tcPr>
            <w:tcW w:w="340" w:type="dxa"/>
            <w:vAlign w:val="bottom"/>
          </w:tcPr>
          <w:p>
            <w:pPr>
              <w:spacing w:after="0"/>
              <w:rPr>
                <w:sz w:val="12"/>
                <w:szCs w:val="12"/>
                <w:color w:val="auto"/>
              </w:rPr>
            </w:pPr>
          </w:p>
        </w:tc>
        <w:tc>
          <w:tcPr>
            <w:tcW w:w="1560" w:type="dxa"/>
            <w:vAlign w:val="bottom"/>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2"/>
              </w:rPr>
              <w:t>June 30, 2021</w:t>
            </w: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September 30, 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 for the period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7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i w:val="1"/>
                <w:iCs w:val="1"/>
                <w:color w:val="auto"/>
              </w:rPr>
              <w:t>Adjustments: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408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Finance expense</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Share based compensation</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144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Restructuring and corporate severance programs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80" w:type="dxa"/>
            <w:vAlign w:val="bottom"/>
            <w:gridSpan w:val="4"/>
          </w:tcPr>
          <w:p>
            <w:pPr>
              <w:spacing w:after="0"/>
              <w:rPr>
                <w:sz w:val="20"/>
                <w:szCs w:val="20"/>
                <w:color w:val="auto"/>
              </w:rPr>
            </w:pPr>
            <w:r>
              <w:rPr>
                <w:rFonts w:ascii="Arial" w:cs="Arial" w:eastAsia="Arial" w:hAnsi="Arial"/>
                <w:sz w:val="18"/>
                <w:szCs w:val="18"/>
                <w:color w:val="auto"/>
              </w:rPr>
              <w:t>(Gains) Losses on transactions, legal settlements and transaction expenses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8"/>
                <w:szCs w:val="18"/>
                <w:color w:val="auto"/>
              </w:rPr>
              <w:t>34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$275</w:t>
            </w:r>
          </w:p>
        </w:tc>
        <w:tc>
          <w:tcPr>
            <w:tcW w:w="1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$466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5"/>
                <w:szCs w:val="15"/>
                <w:color w:val="auto"/>
              </w:rPr>
              <w:t>1</w:t>
            </w:r>
          </w:p>
        </w:tc>
        <w:tc>
          <w:tcPr>
            <w:tcW w:w="6020" w:type="dxa"/>
            <w:vAlign w:val="bottom"/>
            <w:gridSpan w:val="3"/>
          </w:tcPr>
          <w:p>
            <w:pPr>
              <w:ind w:left="160"/>
              <w:spacing w:after="0"/>
              <w:rPr>
                <w:sz w:val="20"/>
                <w:szCs w:val="20"/>
                <w:color w:val="auto"/>
              </w:rPr>
            </w:pPr>
            <w:r>
              <w:rPr>
                <w:rFonts w:ascii="Arial" w:cs="Arial" w:eastAsia="Arial" w:hAnsi="Arial"/>
                <w:sz w:val="18"/>
                <w:szCs w:val="18"/>
                <w:color w:val="auto"/>
              </w:rPr>
              <w:t>Any discrepancies in totals or in percentages are due to rounding.</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Financial Measures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financial information presented in accordance with IFRS, this press release includes the following non-IFRS metrics: adjusted gross profit, adjusted EBITDA, adjusted operating profit, adjusted net income (loss) and adjusted EPS. We define adjusted gross profit (loss) as gross profit (loss) adjusted for share-based compensation expense. We define adjusted EBITDA as net income (loss), excluding the impact of interest expense, tax expense, depreciation, amortization adjusted for share-based compensation expense, transaction gains and associated expenses, restructuring charges and litigation settlements. We define adjusted operating profit (loss) as profit (loss) from operations adjusted for share-based compensation expense. We define adjusted net income (loss) as net income (loss) adjusted for share-based compensation expense. We define adjusted EPS as adjusted net income (loss) divided by the weighted average number of ordinary shares outstanding.</w:t>
      </w:r>
    </w:p>
    <w:p>
      <w:pPr>
        <w:spacing w:after="0" w:line="17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believe that in addition to our results determined in accordance with IFRS, these non-IFRS measures are useful in evaluating our business and the underlying trends that are affecting our performance. These non-IFRS financial measures provide supplemental information regarding our operating performance that excludes certain gains, losses and non-cash charges that occur relatively infrequently and/or that we consider to be unrelated to our core operations. These non-IFRS measures are used by both our management and our board of directors, together with the comparable IFRS information, in evaluating our current performance and planning future business activities.</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these non-IFRS measures, when used in conjunction with our IFRS financial information, also allow investors and users of our financial statements to better evaluate our financial performance in comparison to other periods and to other companies in our industry. However, 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 Information</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GF will host a conference call with the financial community on Tuesday, November 30, 2021 at 4:30 p.m. U.S. Eastern Standard Time (EST) to review the Third Quarter 2021 results in detail. Interested parties may join the scheduled conference call by dialing the following numbers:</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Within the U.S.:</w:t>
            </w:r>
          </w:p>
        </w:tc>
        <w:tc>
          <w:tcPr>
            <w:tcW w:w="1360" w:type="dxa"/>
            <w:vAlign w:val="bottom"/>
          </w:tcPr>
          <w:p>
            <w:pPr>
              <w:ind w:left="180"/>
              <w:spacing w:after="0"/>
              <w:rPr>
                <w:sz w:val="20"/>
                <w:szCs w:val="20"/>
                <w:color w:val="auto"/>
              </w:rPr>
            </w:pPr>
            <w:r>
              <w:rPr>
                <w:rFonts w:ascii="Arial" w:cs="Arial" w:eastAsia="Arial" w:hAnsi="Arial"/>
                <w:sz w:val="18"/>
                <w:szCs w:val="18"/>
                <w:color w:val="auto"/>
                <w:w w:val="90"/>
              </w:rPr>
              <w:t>1-877-788-0411</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Outside the U.S.:</w:t>
            </w:r>
          </w:p>
        </w:tc>
        <w:tc>
          <w:tcPr>
            <w:tcW w:w="1360" w:type="dxa"/>
            <w:vAlign w:val="bottom"/>
          </w:tcPr>
          <w:p>
            <w:pPr>
              <w:jc w:val="right"/>
              <w:spacing w:after="0"/>
              <w:rPr>
                <w:sz w:val="20"/>
                <w:szCs w:val="20"/>
                <w:color w:val="auto"/>
              </w:rPr>
            </w:pPr>
            <w:r>
              <w:rPr>
                <w:rFonts w:ascii="Arial" w:cs="Arial" w:eastAsia="Arial" w:hAnsi="Arial"/>
                <w:sz w:val="18"/>
                <w:szCs w:val="18"/>
                <w:color w:val="auto"/>
              </w:rPr>
              <w:t>1-615-489-8522</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w w:val="96"/>
              </w:rPr>
              <w:t>Participant Passcode:</w:t>
            </w:r>
          </w:p>
        </w:tc>
        <w:tc>
          <w:tcPr>
            <w:tcW w:w="1360" w:type="dxa"/>
            <w:vAlign w:val="bottom"/>
          </w:tcPr>
          <w:p>
            <w:pPr>
              <w:ind w:left="200"/>
              <w:spacing w:after="0"/>
              <w:rPr>
                <w:sz w:val="20"/>
                <w:szCs w:val="20"/>
                <w:color w:val="auto"/>
              </w:rPr>
            </w:pPr>
            <w:r>
              <w:rPr>
                <w:rFonts w:ascii="Arial" w:cs="Arial" w:eastAsia="Arial" w:hAnsi="Arial"/>
                <w:sz w:val="18"/>
                <w:szCs w:val="18"/>
                <w:color w:val="auto"/>
              </w:rPr>
              <w:t>5743266</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call will be webcast and can be accessed from the GF Investor Relations website https://investors.gf.com. A replay of the call will be available on the GF Investor Relations website within 24 hours of the actual call.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Globalfoundries</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GlobalFoundries</w:t>
      </w:r>
      <w:r>
        <w:rPr>
          <w:rFonts w:ascii="Arial" w:cs="Arial" w:eastAsia="Arial" w:hAnsi="Arial"/>
          <w:sz w:val="13"/>
          <w:szCs w:val="13"/>
          <w:color w:val="auto"/>
        </w:rPr>
        <w:t>®</w:t>
      </w:r>
      <w:r>
        <w:rPr>
          <w:rFonts w:ascii="Arial" w:cs="Arial" w:eastAsia="Arial" w:hAnsi="Arial"/>
          <w:sz w:val="16"/>
          <w:szCs w:val="16"/>
          <w:color w:val="auto"/>
        </w:rPr>
        <w:t xml:space="preserve"> (GF</w:t>
      </w:r>
      <w:r>
        <w:rPr>
          <w:rFonts w:ascii="Arial" w:cs="Arial" w:eastAsia="Arial" w:hAnsi="Arial"/>
          <w:sz w:val="13"/>
          <w:szCs w:val="13"/>
          <w:color w:val="auto"/>
        </w:rPr>
        <w:t>®</w:t>
      </w:r>
      <w:r>
        <w:rPr>
          <w:rFonts w:ascii="Arial" w:cs="Arial" w:eastAsia="Arial" w:hAnsi="Arial"/>
          <w:sz w:val="16"/>
          <w:szCs w:val="16"/>
          <w:color w:val="auto"/>
        </w:rPr>
        <w:t xml:space="preserve">)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auto"/>
        </w:rPr>
        <w:t>www.gf.com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This press release includes express and implied “forward-looking statements,” including but not limited to, statements regarding our financial outlook, future guidance, product development, business strategy and plans, and market trends, opportunities and positioning. Forward-looking statements are based on our management’s beliefs and assumptions and on information currently available to our management. These forward-looking statements are based on current expectations, estimates, forecasts and projections.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subject to a number of risks and uncertainties, many of which involve factors or circumstances that are beyond our control. For example, our business could be impacted by the COVID-19 pandemic and actions taken in response to it;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w:t>
      </w:r>
    </w:p>
    <w:p>
      <w:pPr>
        <w:sectPr>
          <w:pgSz w:w="11900" w:h="16838" w:orient="portrait"/>
          <w:cols w:equalWidth="0" w:num="1">
            <w:col w:w="11000"/>
          </w:cols>
          <w:pgMar w:left="440" w:top="270" w:right="45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customers’ data could damage our reputation; we could experience interruptions or performance problems associated with our technology, including a service outage; and global economic conditions could deteriorate.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listed in our SEC filings. Copies of our SEC filings are available on our Investor Relations website, investors.gf.com, or from the SEC website, www.sec.gov.</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ir@gf.com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2021-11-30T15:26:07Z</dcterms:created>
  <dcterms:modified xsi:type="dcterms:W3CDTF">2021-11-30T15:26:07Z</dcterms:modified>
</cp:coreProperties>
</file>