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UNITED STATES</w:t>
      </w:r>
    </w:p>
    <w:p>
      <w:pPr>
        <w:jc w:val="center"/>
        <w:ind w:right="-39"/>
        <w:spacing w:after="0" w:line="199"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385" w:lineRule="exact"/>
        <w:rPr>
          <w:sz w:val="24"/>
          <w:szCs w:val="24"/>
          <w:color w:val="auto"/>
        </w:rPr>
      </w:pPr>
    </w:p>
    <w:p>
      <w:pPr>
        <w:ind w:left="5080"/>
        <w:spacing w:after="0"/>
        <w:rPr>
          <w:sz w:val="20"/>
          <w:szCs w:val="20"/>
          <w:color w:val="auto"/>
        </w:rPr>
      </w:pPr>
      <w:r>
        <w:rPr>
          <w:rFonts w:ascii="Arial" w:cs="Arial" w:eastAsia="Arial" w:hAnsi="Arial"/>
          <w:sz w:val="22"/>
          <w:szCs w:val="22"/>
          <w:b w:val="1"/>
          <w:bCs w:val="1"/>
          <w:color w:val="auto"/>
        </w:rPr>
        <w:t>FORM 6-K</w:t>
      </w:r>
    </w:p>
    <w:p>
      <w:pPr>
        <w:spacing w:after="0" w:line="178" w:lineRule="exact"/>
        <w:rPr>
          <w:sz w:val="24"/>
          <w:szCs w:val="24"/>
          <w:color w:val="auto"/>
        </w:rPr>
      </w:pPr>
    </w:p>
    <w:p>
      <w:pPr>
        <w:ind w:left="220"/>
        <w:spacing w:after="0"/>
        <w:rPr>
          <w:sz w:val="20"/>
          <w:szCs w:val="20"/>
          <w:color w:val="auto"/>
        </w:rPr>
      </w:pPr>
      <w:r>
        <w:rPr>
          <w:rFonts w:ascii="Arial" w:cs="Arial" w:eastAsia="Arial" w:hAnsi="Arial"/>
          <w:sz w:val="21"/>
          <w:szCs w:val="21"/>
          <w:b w:val="1"/>
          <w:bCs w:val="1"/>
          <w:color w:val="auto"/>
        </w:rPr>
        <w:t>REPORT OF FOREIGN PRIVATE ISSUER PURSUANT TO RULE 13a-16 OR 15d-16 UNDER THE SECURITIES</w:t>
      </w:r>
    </w:p>
    <w:p>
      <w:pPr>
        <w:jc w:val="center"/>
        <w:ind w:right="-39"/>
        <w:spacing w:after="0"/>
        <w:rPr>
          <w:sz w:val="20"/>
          <w:szCs w:val="20"/>
          <w:color w:val="auto"/>
        </w:rPr>
      </w:pPr>
      <w:r>
        <w:rPr>
          <w:rFonts w:ascii="Arial" w:cs="Arial" w:eastAsia="Arial" w:hAnsi="Arial"/>
          <w:sz w:val="22"/>
          <w:szCs w:val="22"/>
          <w:b w:val="1"/>
          <w:bCs w:val="1"/>
          <w:color w:val="auto"/>
        </w:rPr>
        <w:t>EXCHANGE ACT OF 1934</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month of November 2023</w:t>
      </w:r>
    </w:p>
    <w:p>
      <w:pPr>
        <w:spacing w:after="0" w:line="18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001-40974</w:t>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GLOBALFOUNDRIES Inc.</w:t>
      </w:r>
    </w:p>
    <w:p>
      <w:pPr>
        <w:spacing w:after="0" w:line="18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400 Stonebreak Road Extension</w:t>
      </w:r>
    </w:p>
    <w:p>
      <w:pPr>
        <w:ind w:left="4960"/>
        <w:spacing w:after="0" w:line="205" w:lineRule="auto"/>
        <w:rPr>
          <w:sz w:val="20"/>
          <w:szCs w:val="20"/>
          <w:color w:val="auto"/>
        </w:rPr>
      </w:pPr>
      <w:r>
        <w:rPr>
          <w:rFonts w:ascii="Arial" w:cs="Arial" w:eastAsia="Arial" w:hAnsi="Arial"/>
          <w:sz w:val="18"/>
          <w:szCs w:val="18"/>
          <w:b w:val="1"/>
          <w:bCs w:val="1"/>
          <w:color w:val="auto"/>
        </w:rPr>
        <w:t>Malta, NY 12020</w:t>
      </w:r>
    </w:p>
    <w:p>
      <w:pPr>
        <w:spacing w:after="0" w:line="1" w:lineRule="exact"/>
        <w:rPr>
          <w:sz w:val="24"/>
          <w:szCs w:val="24"/>
          <w:color w:val="auto"/>
        </w:rPr>
      </w:pPr>
    </w:p>
    <w:p>
      <w:pPr>
        <w:ind w:left="4180"/>
        <w:spacing w:after="0"/>
        <w:rPr>
          <w:sz w:val="20"/>
          <w:szCs w:val="20"/>
          <w:color w:val="auto"/>
        </w:rPr>
      </w:pPr>
      <w:r>
        <w:rPr>
          <w:rFonts w:ascii="Arial" w:cs="Arial" w:eastAsia="Arial" w:hAnsi="Arial"/>
          <w:sz w:val="18"/>
          <w:szCs w:val="18"/>
          <w:color w:val="auto"/>
        </w:rPr>
        <w:t>(Address of principal executive offices)</w:t>
      </w:r>
    </w:p>
    <w:p>
      <w:pPr>
        <w:spacing w:after="0" w:line="155" w:lineRule="exact"/>
        <w:rPr>
          <w:sz w:val="24"/>
          <w:szCs w:val="24"/>
          <w:color w:val="auto"/>
        </w:rPr>
      </w:pPr>
    </w:p>
    <w:p>
      <w:pPr>
        <w:ind w:left="64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26"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640"/>
        <w:spacing w:after="0"/>
        <w:rPr>
          <w:sz w:val="20"/>
          <w:szCs w:val="20"/>
          <w:color w:val="auto"/>
        </w:rPr>
      </w:pPr>
      <w:r>
        <w:rPr>
          <w:rFonts w:ascii="Arial" w:cs="Arial" w:eastAsia="Arial" w:hAnsi="Arial"/>
          <w:sz w:val="18"/>
          <w:szCs w:val="18"/>
          <w:color w:val="auto"/>
        </w:rPr>
        <w:t>Attached hereto are the following exhibits.</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00" w:type="dxa"/>
            <w:vAlign w:val="bottom"/>
            <w:gridSpan w:val="2"/>
          </w:tcPr>
          <w:p>
            <w:pPr>
              <w:spacing w:after="0"/>
              <w:rPr>
                <w:sz w:val="20"/>
                <w:szCs w:val="20"/>
                <w:color w:val="auto"/>
              </w:rPr>
            </w:pPr>
            <w:r>
              <w:rPr>
                <w:rFonts w:ascii="Arial" w:cs="Arial" w:eastAsia="Arial" w:hAnsi="Arial"/>
                <w:sz w:val="18"/>
                <w:szCs w:val="18"/>
                <w:color w:val="0000FF"/>
              </w:rPr>
              <w:t>Exhibit 99.1</w:t>
            </w:r>
          </w:p>
        </w:tc>
        <w:tc>
          <w:tcPr>
            <w:tcW w:w="9160" w:type="dxa"/>
            <w:vAlign w:val="bottom"/>
            <w:gridSpan w:val="4"/>
          </w:tcPr>
          <w:p>
            <w:pPr>
              <w:spacing w:after="0"/>
              <w:rPr>
                <w:sz w:val="20"/>
                <w:szCs w:val="20"/>
                <w:color w:val="auto"/>
              </w:rPr>
            </w:pPr>
            <w:r>
              <w:rPr>
                <w:rFonts w:ascii="Arial" w:cs="Arial" w:eastAsia="Arial" w:hAnsi="Arial"/>
                <w:sz w:val="18"/>
                <w:szCs w:val="18"/>
                <w:color w:val="0000FF"/>
                <w:w w:val="89"/>
              </w:rPr>
              <w:t>Unaudited Interim Condensed Consolidated Financial Statements as of September 30, 2023 and December 31, 2022 and for the</w:t>
            </w:r>
          </w:p>
        </w:tc>
      </w:tr>
      <w:tr>
        <w:trPr>
          <w:trHeight w:val="210"/>
        </w:trPr>
        <w:tc>
          <w:tcPr>
            <w:tcW w:w="900" w:type="dxa"/>
            <w:vAlign w:val="bottom"/>
            <w:tcBorders>
              <w:top w:val="single" w:sz="8" w:color="0000FF"/>
            </w:tcBorders>
          </w:tcPr>
          <w:p>
            <w:pPr>
              <w:spacing w:after="0"/>
              <w:rPr>
                <w:sz w:val="18"/>
                <w:szCs w:val="18"/>
                <w:color w:val="auto"/>
              </w:rPr>
            </w:pPr>
          </w:p>
        </w:tc>
        <w:tc>
          <w:tcPr>
            <w:tcW w:w="1100" w:type="dxa"/>
            <w:vAlign w:val="bottom"/>
          </w:tcPr>
          <w:p>
            <w:pPr>
              <w:spacing w:after="0"/>
              <w:rPr>
                <w:sz w:val="18"/>
                <w:szCs w:val="18"/>
                <w:color w:val="auto"/>
              </w:rPr>
            </w:pPr>
          </w:p>
        </w:tc>
        <w:tc>
          <w:tcPr>
            <w:tcW w:w="91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three and nine months ended September 30, 2023 and 2022.</w:t>
            </w:r>
          </w:p>
        </w:tc>
      </w:tr>
      <w:tr>
        <w:trPr>
          <w:trHeight w:val="20"/>
        </w:trPr>
        <w:tc>
          <w:tcPr>
            <w:tcW w:w="2000" w:type="dxa"/>
            <w:vAlign w:val="bottom"/>
            <w:gridSpan w:val="2"/>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0000FF"/>
                <w:w w:val="93"/>
              </w:rPr>
              <w:t>Exhibit 99.2</w:t>
            </w:r>
          </w:p>
        </w:tc>
        <w:tc>
          <w:tcPr>
            <w:tcW w:w="1100" w:type="dxa"/>
            <w:vAlign w:val="bottom"/>
          </w:tcPr>
          <w:p>
            <w:pPr>
              <w:spacing w:after="0"/>
              <w:rPr>
                <w:sz w:val="21"/>
                <w:szCs w:val="21"/>
                <w:color w:val="auto"/>
              </w:rPr>
            </w:pPr>
          </w:p>
        </w:tc>
        <w:tc>
          <w:tcPr>
            <w:tcW w:w="9160" w:type="dxa"/>
            <w:vAlign w:val="bottom"/>
            <w:gridSpan w:val="4"/>
          </w:tcPr>
          <w:p>
            <w:pPr>
              <w:spacing w:after="0"/>
              <w:rPr>
                <w:sz w:val="20"/>
                <w:szCs w:val="20"/>
                <w:color w:val="auto"/>
              </w:rPr>
            </w:pPr>
            <w:r>
              <w:rPr>
                <w:rFonts w:ascii="Arial" w:cs="Arial" w:eastAsia="Arial" w:hAnsi="Arial"/>
                <w:sz w:val="18"/>
                <w:szCs w:val="18"/>
                <w:color w:val="0000FF"/>
                <w:w w:val="91"/>
              </w:rPr>
              <w:t>Management’s Discussion and Analysis of Financial Condition and Results of Operations for the three and nine months ended</w:t>
            </w:r>
          </w:p>
        </w:tc>
      </w:tr>
      <w:tr>
        <w:trPr>
          <w:trHeight w:val="209"/>
        </w:trPr>
        <w:tc>
          <w:tcPr>
            <w:tcW w:w="900" w:type="dxa"/>
            <w:vAlign w:val="bottom"/>
            <w:tcBorders>
              <w:top w:val="single" w:sz="8" w:color="0000FF"/>
            </w:tcBorders>
          </w:tcPr>
          <w:p>
            <w:pPr>
              <w:spacing w:after="0"/>
              <w:rPr>
                <w:sz w:val="18"/>
                <w:szCs w:val="18"/>
                <w:color w:val="auto"/>
              </w:rPr>
            </w:pPr>
          </w:p>
        </w:tc>
        <w:tc>
          <w:tcPr>
            <w:tcW w:w="1100" w:type="dxa"/>
            <w:vAlign w:val="bottom"/>
          </w:tcPr>
          <w:p>
            <w:pPr>
              <w:spacing w:after="0"/>
              <w:rPr>
                <w:sz w:val="18"/>
                <w:szCs w:val="18"/>
                <w:color w:val="auto"/>
              </w:rPr>
            </w:pPr>
          </w:p>
        </w:tc>
        <w:tc>
          <w:tcPr>
            <w:tcW w:w="90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September 30, 2023 and 2022.</w:t>
            </w:r>
          </w:p>
        </w:tc>
        <w:tc>
          <w:tcPr>
            <w:tcW w:w="8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3956050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440"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740" w:type="dxa"/>
            <w:vAlign w:val="bottom"/>
            <w:gridSpan w:val="2"/>
          </w:tcPr>
          <w:p>
            <w:pPr>
              <w:ind w:left="1600"/>
              <w:spacing w:after="0"/>
              <w:rPr>
                <w:sz w:val="20"/>
                <w:szCs w:val="20"/>
                <w:color w:val="auto"/>
              </w:rPr>
            </w:pPr>
            <w:r>
              <w:rPr>
                <w:rFonts w:ascii="Arial" w:cs="Arial" w:eastAsia="Arial" w:hAnsi="Arial"/>
                <w:sz w:val="18"/>
                <w:szCs w:val="18"/>
                <w:b w:val="1"/>
                <w:bCs w:val="1"/>
                <w:color w:val="auto"/>
              </w:rPr>
              <w:t>GLOBALFOUNDRIES Inc.</w:t>
            </w:r>
          </w:p>
        </w:tc>
      </w:tr>
      <w:tr>
        <w:trPr>
          <w:trHeight w:val="500"/>
        </w:trPr>
        <w:tc>
          <w:tcPr>
            <w:tcW w:w="3380" w:type="dxa"/>
            <w:vAlign w:val="bottom"/>
          </w:tcPr>
          <w:p>
            <w:pPr>
              <w:spacing w:after="0"/>
              <w:rPr>
                <w:sz w:val="20"/>
                <w:szCs w:val="20"/>
                <w:color w:val="auto"/>
              </w:rPr>
            </w:pPr>
            <w:r>
              <w:rPr>
                <w:rFonts w:ascii="Arial" w:cs="Arial" w:eastAsia="Arial" w:hAnsi="Arial"/>
                <w:sz w:val="18"/>
                <w:szCs w:val="18"/>
                <w:color w:val="auto"/>
              </w:rPr>
              <w:t>Date: November 7, 2023</w:t>
            </w:r>
          </w:p>
        </w:tc>
        <w:tc>
          <w:tcPr>
            <w:tcW w:w="2740" w:type="dxa"/>
            <w:vAlign w:val="bottom"/>
          </w:tcPr>
          <w:p>
            <w:pPr>
              <w:ind w:left="160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Thomas Caulfield</w:t>
            </w:r>
          </w:p>
        </w:tc>
      </w:tr>
      <w:tr>
        <w:trPr>
          <w:trHeight w:val="40"/>
        </w:trPr>
        <w:tc>
          <w:tcPr>
            <w:tcW w:w="33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37"/>
        </w:trPr>
        <w:tc>
          <w:tcPr>
            <w:tcW w:w="3380" w:type="dxa"/>
            <w:vAlign w:val="bottom"/>
          </w:tcPr>
          <w:p>
            <w:pPr>
              <w:spacing w:after="0"/>
              <w:rPr>
                <w:sz w:val="20"/>
                <w:szCs w:val="20"/>
                <w:color w:val="auto"/>
              </w:rPr>
            </w:pPr>
          </w:p>
        </w:tc>
        <w:tc>
          <w:tcPr>
            <w:tcW w:w="2740" w:type="dxa"/>
            <w:vAlign w:val="bottom"/>
          </w:tcPr>
          <w:p>
            <w:pPr>
              <w:ind w:left="1600"/>
              <w:spacing w:after="0"/>
              <w:rPr>
                <w:sz w:val="20"/>
                <w:szCs w:val="20"/>
                <w:color w:val="auto"/>
              </w:rPr>
            </w:pPr>
            <w:r>
              <w:rPr>
                <w:rFonts w:ascii="Arial" w:cs="Arial" w:eastAsia="Arial" w:hAnsi="Arial"/>
                <w:sz w:val="18"/>
                <w:szCs w:val="18"/>
                <w:color w:val="auto"/>
              </w:rPr>
              <w:t>Name:</w:t>
            </w:r>
          </w:p>
        </w:tc>
        <w:tc>
          <w:tcPr>
            <w:tcW w:w="5000" w:type="dxa"/>
            <w:vAlign w:val="bottom"/>
          </w:tcPr>
          <w:p>
            <w:pPr>
              <w:ind w:left="20"/>
              <w:spacing w:after="0"/>
              <w:rPr>
                <w:sz w:val="20"/>
                <w:szCs w:val="20"/>
                <w:color w:val="auto"/>
              </w:rPr>
            </w:pPr>
            <w:r>
              <w:rPr>
                <w:rFonts w:ascii="Arial" w:cs="Arial" w:eastAsia="Arial" w:hAnsi="Arial"/>
                <w:sz w:val="18"/>
                <w:szCs w:val="18"/>
                <w:color w:val="auto"/>
              </w:rPr>
              <w:t>Dr. Thomas Caulfield</w:t>
            </w:r>
          </w:p>
        </w:tc>
      </w:tr>
      <w:tr>
        <w:trPr>
          <w:trHeight w:val="283"/>
        </w:trPr>
        <w:tc>
          <w:tcPr>
            <w:tcW w:w="3380" w:type="dxa"/>
            <w:vAlign w:val="bottom"/>
          </w:tcPr>
          <w:p>
            <w:pPr>
              <w:spacing w:after="0"/>
              <w:rPr>
                <w:sz w:val="24"/>
                <w:szCs w:val="24"/>
                <w:color w:val="auto"/>
              </w:rPr>
            </w:pPr>
          </w:p>
        </w:tc>
        <w:tc>
          <w:tcPr>
            <w:tcW w:w="2740" w:type="dxa"/>
            <w:vAlign w:val="bottom"/>
          </w:tcPr>
          <w:p>
            <w:pPr>
              <w:ind w:left="160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&amp; Chief Executive Officer</w:t>
            </w:r>
          </w:p>
        </w:tc>
      </w:tr>
    </w:tbl>
    <w:p>
      <w:pPr>
        <w:sectPr>
          <w:pgSz w:w="11900" w:h="16838" w:orient="portrait"/>
          <w:cols w:equalWidth="0" w:num="1">
            <w:col w:w="11240"/>
          </w:cols>
          <w:pgMar w:left="320" w:top="1417"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920" w:type="dxa"/>
            <w:vAlign w:val="bottom"/>
            <w:gridSpan w:val="6"/>
          </w:tcPr>
          <w:p>
            <w:pPr>
              <w:ind w:left="4060"/>
              <w:spacing w:after="0"/>
              <w:rPr>
                <w:sz w:val="20"/>
                <w:szCs w:val="20"/>
                <w:color w:val="auto"/>
              </w:rPr>
            </w:pPr>
            <w:r>
              <w:rPr>
                <w:rFonts w:ascii="Arial" w:cs="Arial" w:eastAsia="Arial" w:hAnsi="Arial"/>
                <w:sz w:val="18"/>
                <w:szCs w:val="18"/>
                <w:color w:val="auto"/>
              </w:rPr>
              <w:t>Unaudited Statements</w:t>
            </w:r>
          </w:p>
        </w:tc>
        <w:tc>
          <w:tcPr>
            <w:tcW w:w="1300" w:type="dxa"/>
            <w:vAlign w:val="bottom"/>
            <w:gridSpan w:val="5"/>
          </w:tcPr>
          <w:p>
            <w:pPr>
              <w:ind w:left="440"/>
              <w:spacing w:after="0"/>
              <w:rPr>
                <w:sz w:val="20"/>
                <w:szCs w:val="20"/>
                <w:color w:val="auto"/>
              </w:rPr>
            </w:pPr>
            <w:r>
              <w:rPr>
                <w:rFonts w:ascii="Arial" w:cs="Arial" w:eastAsia="Arial" w:hAnsi="Arial"/>
                <w:sz w:val="18"/>
                <w:szCs w:val="18"/>
                <w:b w:val="1"/>
                <w:bCs w:val="1"/>
                <w:color w:val="auto"/>
              </w:rPr>
              <w:t>Page</w:t>
            </w:r>
          </w:p>
        </w:tc>
      </w:tr>
      <w:tr>
        <w:trPr>
          <w:trHeight w:val="29"/>
        </w:trPr>
        <w:tc>
          <w:tcPr>
            <w:tcW w:w="4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453"/>
        </w:trPr>
        <w:tc>
          <w:tcPr>
            <w:tcW w:w="9920" w:type="dxa"/>
            <w:vAlign w:val="bottom"/>
            <w:gridSpan w:val="6"/>
          </w:tcPr>
          <w:p>
            <w:pPr>
              <w:spacing w:after="0"/>
              <w:rPr>
                <w:sz w:val="20"/>
                <w:szCs w:val="20"/>
                <w:color w:val="auto"/>
              </w:rPr>
            </w:pPr>
            <w:r>
              <w:rPr>
                <w:rFonts w:ascii="Arial" w:cs="Arial" w:eastAsia="Arial" w:hAnsi="Arial"/>
                <w:sz w:val="18"/>
                <w:szCs w:val="18"/>
                <w:color w:val="0000FF"/>
              </w:rPr>
              <w:t>Interim Condensed Consolidated Statements of Financial Position</w:t>
            </w:r>
          </w:p>
        </w:tc>
        <w:tc>
          <w:tcPr>
            <w:tcW w:w="8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2</w:t>
            </w:r>
          </w:p>
        </w:tc>
        <w:tc>
          <w:tcPr>
            <w:tcW w:w="460" w:type="dxa"/>
            <w:vAlign w:val="bottom"/>
          </w:tcPr>
          <w:p>
            <w:pPr>
              <w:spacing w:after="0"/>
              <w:rPr>
                <w:sz w:val="24"/>
                <w:szCs w:val="24"/>
                <w:color w:val="auto"/>
              </w:rPr>
            </w:pPr>
          </w:p>
        </w:tc>
      </w:tr>
      <w:tr>
        <w:trPr>
          <w:trHeight w:val="27"/>
        </w:trPr>
        <w:tc>
          <w:tcPr>
            <w:tcW w:w="4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0000FF"/>
                <w:w w:val="99"/>
              </w:rPr>
              <w:t>Interim Condensed Consolidated Statements of Operations</w:t>
            </w:r>
          </w:p>
        </w:tc>
        <w:tc>
          <w:tcPr>
            <w:tcW w:w="520" w:type="dxa"/>
            <w:vAlign w:val="bottom"/>
            <w:gridSpan w:val="3"/>
          </w:tcPr>
          <w:p>
            <w:pPr>
              <w:spacing w:after="0"/>
              <w:rPr>
                <w:sz w:val="22"/>
                <w:szCs w:val="22"/>
                <w:color w:val="auto"/>
              </w:rPr>
            </w:pPr>
          </w:p>
        </w:tc>
        <w:tc>
          <w:tcPr>
            <w:tcW w:w="4680" w:type="dxa"/>
            <w:vAlign w:val="bottom"/>
            <w:gridSpan w:val="2"/>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3</w:t>
            </w:r>
          </w:p>
        </w:tc>
        <w:tc>
          <w:tcPr>
            <w:tcW w:w="460" w:type="dxa"/>
            <w:vAlign w:val="bottom"/>
          </w:tcPr>
          <w:p>
            <w:pPr>
              <w:spacing w:after="0"/>
              <w:rPr>
                <w:sz w:val="22"/>
                <w:szCs w:val="22"/>
                <w:color w:val="auto"/>
              </w:rPr>
            </w:pP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5740" w:type="dxa"/>
            <w:vAlign w:val="bottom"/>
            <w:gridSpan w:val="5"/>
          </w:tcPr>
          <w:p>
            <w:pPr>
              <w:spacing w:after="0"/>
              <w:rPr>
                <w:sz w:val="20"/>
                <w:szCs w:val="20"/>
                <w:color w:val="auto"/>
              </w:rPr>
            </w:pPr>
            <w:r>
              <w:rPr>
                <w:rFonts w:ascii="Arial" w:cs="Arial" w:eastAsia="Arial" w:hAnsi="Arial"/>
                <w:sz w:val="18"/>
                <w:szCs w:val="18"/>
                <w:color w:val="0000FF"/>
                <w:w w:val="99"/>
              </w:rPr>
              <w:t>Interim Condensed Consolidated Statements of Comprehensive Income</w:t>
            </w:r>
          </w:p>
        </w:tc>
        <w:tc>
          <w:tcPr>
            <w:tcW w:w="4180" w:type="dxa"/>
            <w:vAlign w:val="bottom"/>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4</w:t>
            </w:r>
          </w:p>
        </w:tc>
        <w:tc>
          <w:tcPr>
            <w:tcW w:w="460" w:type="dxa"/>
            <w:vAlign w:val="bottom"/>
          </w:tcPr>
          <w:p>
            <w:pPr>
              <w:spacing w:after="0"/>
              <w:rPr>
                <w:sz w:val="22"/>
                <w:szCs w:val="22"/>
                <w:color w:val="auto"/>
              </w:rPr>
            </w:pP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5240" w:type="dxa"/>
            <w:vAlign w:val="bottom"/>
            <w:gridSpan w:val="4"/>
          </w:tcPr>
          <w:p>
            <w:pPr>
              <w:spacing w:after="0"/>
              <w:rPr>
                <w:sz w:val="20"/>
                <w:szCs w:val="20"/>
                <w:color w:val="auto"/>
              </w:rPr>
            </w:pPr>
            <w:r>
              <w:rPr>
                <w:rFonts w:ascii="Arial" w:cs="Arial" w:eastAsia="Arial" w:hAnsi="Arial"/>
                <w:sz w:val="18"/>
                <w:szCs w:val="18"/>
                <w:color w:val="0000FF"/>
                <w:w w:val="98"/>
              </w:rPr>
              <w:t>Interim Condensed Consolidated Statements of Changes in Equity</w:t>
            </w:r>
          </w:p>
        </w:tc>
        <w:tc>
          <w:tcPr>
            <w:tcW w:w="5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5</w:t>
            </w:r>
          </w:p>
        </w:tc>
        <w:tc>
          <w:tcPr>
            <w:tcW w:w="460" w:type="dxa"/>
            <w:vAlign w:val="bottom"/>
          </w:tcPr>
          <w:p>
            <w:pPr>
              <w:spacing w:after="0"/>
              <w:rPr>
                <w:sz w:val="22"/>
                <w:szCs w:val="22"/>
                <w:color w:val="auto"/>
              </w:rPr>
            </w:pP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4780" w:type="dxa"/>
            <w:vAlign w:val="bottom"/>
            <w:gridSpan w:val="2"/>
          </w:tcPr>
          <w:p>
            <w:pPr>
              <w:spacing w:after="0"/>
              <w:rPr>
                <w:sz w:val="20"/>
                <w:szCs w:val="20"/>
                <w:color w:val="auto"/>
              </w:rPr>
            </w:pPr>
            <w:r>
              <w:rPr>
                <w:rFonts w:ascii="Arial" w:cs="Arial" w:eastAsia="Arial" w:hAnsi="Arial"/>
                <w:sz w:val="18"/>
                <w:szCs w:val="18"/>
                <w:color w:val="0000FF"/>
                <w:w w:val="99"/>
              </w:rPr>
              <w:t>Interim Condensed Consolidated Statements of Cash Flows</w:t>
            </w:r>
          </w:p>
        </w:tc>
        <w:tc>
          <w:tcPr>
            <w:tcW w:w="460" w:type="dxa"/>
            <w:vAlign w:val="bottom"/>
            <w:gridSpan w:val="2"/>
          </w:tcPr>
          <w:p>
            <w:pPr>
              <w:spacing w:after="0"/>
              <w:rPr>
                <w:sz w:val="22"/>
                <w:szCs w:val="22"/>
                <w:color w:val="auto"/>
              </w:rPr>
            </w:pPr>
          </w:p>
        </w:tc>
        <w:tc>
          <w:tcPr>
            <w:tcW w:w="4680" w:type="dxa"/>
            <w:vAlign w:val="bottom"/>
            <w:gridSpan w:val="2"/>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6</w:t>
            </w:r>
          </w:p>
        </w:tc>
        <w:tc>
          <w:tcPr>
            <w:tcW w:w="460" w:type="dxa"/>
            <w:vAlign w:val="bottom"/>
          </w:tcPr>
          <w:p>
            <w:pPr>
              <w:spacing w:after="0"/>
              <w:rPr>
                <w:sz w:val="22"/>
                <w:szCs w:val="22"/>
                <w:color w:val="auto"/>
              </w:rPr>
            </w:pPr>
          </w:p>
        </w:tc>
      </w:tr>
      <w:tr>
        <w:trPr>
          <w:trHeight w:val="20"/>
        </w:trPr>
        <w:tc>
          <w:tcPr>
            <w:tcW w:w="47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5080" w:type="dxa"/>
            <w:vAlign w:val="bottom"/>
            <w:gridSpan w:val="3"/>
          </w:tcPr>
          <w:p>
            <w:pPr>
              <w:spacing w:after="0"/>
              <w:rPr>
                <w:sz w:val="20"/>
                <w:szCs w:val="20"/>
                <w:color w:val="auto"/>
              </w:rPr>
            </w:pPr>
            <w:r>
              <w:rPr>
                <w:rFonts w:ascii="Arial" w:cs="Arial" w:eastAsia="Arial" w:hAnsi="Arial"/>
                <w:sz w:val="18"/>
                <w:szCs w:val="18"/>
                <w:color w:val="0000FF"/>
                <w:w w:val="99"/>
              </w:rPr>
              <w:t>Notes to Interim Condensed Consolidated Financial Statements</w:t>
            </w:r>
          </w:p>
        </w:tc>
        <w:tc>
          <w:tcPr>
            <w:tcW w:w="4840" w:type="dxa"/>
            <w:vAlign w:val="bottom"/>
            <w:gridSpan w:val="3"/>
          </w:tcPr>
          <w:p>
            <w:pPr>
              <w:spacing w:after="0"/>
              <w:rPr>
                <w:sz w:val="22"/>
                <w:szCs w:val="22"/>
                <w:color w:val="auto"/>
              </w:rPr>
            </w:pPr>
          </w:p>
        </w:tc>
        <w:tc>
          <w:tcPr>
            <w:tcW w:w="1300" w:type="dxa"/>
            <w:vAlign w:val="bottom"/>
            <w:gridSpan w:val="5"/>
          </w:tcPr>
          <w:p>
            <w:pPr>
              <w:jc w:val="center"/>
              <w:spacing w:after="0"/>
              <w:rPr>
                <w:sz w:val="20"/>
                <w:szCs w:val="20"/>
                <w:color w:val="auto"/>
              </w:rPr>
            </w:pPr>
            <w:r>
              <w:rPr>
                <w:rFonts w:ascii="Arial" w:cs="Arial" w:eastAsia="Arial" w:hAnsi="Arial"/>
                <w:sz w:val="18"/>
                <w:szCs w:val="18"/>
                <w:color w:val="0000FF"/>
                <w:w w:val="99"/>
              </w:rPr>
              <w:t>7</w:t>
            </w:r>
            <w:r>
              <w:rPr>
                <w:rFonts w:ascii="Arial" w:cs="Arial" w:eastAsia="Arial" w:hAnsi="Arial"/>
                <w:sz w:val="18"/>
                <w:szCs w:val="18"/>
                <w:color w:val="000000"/>
                <w:w w:val="99"/>
              </w:rPr>
              <w:t>-</w:t>
            </w:r>
            <w:r>
              <w:rPr>
                <w:rFonts w:ascii="Arial" w:cs="Arial" w:eastAsia="Arial" w:hAnsi="Arial"/>
                <w:sz w:val="18"/>
                <w:szCs w:val="18"/>
                <w:color w:val="0000FF"/>
                <w:w w:val="99"/>
              </w:rPr>
              <w:t>16</w:t>
            </w: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78105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FINANCIAL POSITION</w:t>
      </w:r>
    </w:p>
    <w:p>
      <w:pPr>
        <w:jc w:val="center"/>
        <w:spacing w:after="0" w:line="228" w:lineRule="auto"/>
        <w:rPr>
          <w:sz w:val="20"/>
          <w:szCs w:val="20"/>
          <w:color w:val="auto"/>
        </w:rPr>
      </w:pPr>
      <w:r>
        <w:rPr>
          <w:rFonts w:ascii="Arial" w:cs="Arial" w:eastAsia="Arial" w:hAnsi="Arial"/>
          <w:sz w:val="16"/>
          <w:szCs w:val="16"/>
          <w:b w:val="1"/>
          <w:bCs w:val="1"/>
          <w:color w:val="auto"/>
        </w:rPr>
        <w:t>As of September 30, 2023 AND December 31,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ectPr>
          <w:pgSz w:w="11900" w:h="16838" w:orient="portrait"/>
          <w:cols w:equalWidth="0" w:num="1">
            <w:col w:w="11240"/>
          </w:cols>
          <w:pgMar w:left="320" w:top="94" w:right="339" w:bottom="9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millions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62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2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Receivables, prepayments and 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current assets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Noncurrent assets:</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6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320" w:type="dxa"/>
            <w:vAlign w:val="bottom"/>
          </w:tcPr>
          <w:p>
            <w:pPr>
              <w:spacing w:after="0"/>
              <w:rPr>
                <w:sz w:val="19"/>
                <w:szCs w:val="19"/>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7"/>
                <w:szCs w:val="17"/>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27"/>
        </w:trPr>
        <w:tc>
          <w:tcPr>
            <w:tcW w:w="160" w:type="dxa"/>
            <w:vAlign w:val="bottom"/>
          </w:tcPr>
          <w:p>
            <w:pPr>
              <w:spacing w:after="0"/>
              <w:rPr>
                <w:sz w:val="19"/>
                <w:szCs w:val="19"/>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76"/>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1,880</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2,352</w:t>
            </w:r>
          </w:p>
        </w:tc>
      </w:tr>
      <w:tr>
        <w:trPr>
          <w:trHeight w:val="257"/>
        </w:trPr>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1,014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622</w:t>
            </w:r>
          </w:p>
        </w:tc>
      </w:tr>
      <w:tr>
        <w:trPr>
          <w:trHeight w:val="257"/>
        </w:trPr>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1,404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1,487</w:t>
            </w:r>
          </w:p>
        </w:tc>
      </w:tr>
      <w:tr>
        <w:trPr>
          <w:trHeight w:val="256"/>
        </w:trPr>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1,509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1,339</w:t>
            </w:r>
          </w:p>
        </w:tc>
      </w:tr>
      <w:tr>
        <w:trPr>
          <w:trHeight w:val="33"/>
        </w:trPr>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9"/>
        </w:trPr>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5,807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5,800</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ectPr>
          <w:pgSz w:w="11900" w:h="16838" w:orient="portrait"/>
          <w:cols w:equalWidth="0" w:num="2">
            <w:col w:w="7400" w:space="720"/>
            <w:col w:w="3120"/>
          </w:cols>
          <w:pgMar w:left="320" w:top="94" w:right="339" w:bottom="99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10,594</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10,596</w:t>
            </w:r>
          </w:p>
        </w:tc>
      </w:tr>
      <w:tr>
        <w:trPr>
          <w:trHeight w:val="223"/>
        </w:trPr>
        <w:tc>
          <w:tcPr>
            <w:tcW w:w="8120" w:type="dxa"/>
            <w:vAlign w:val="bottom"/>
          </w:tcPr>
          <w:p>
            <w:pPr>
              <w:ind w:left="20"/>
              <w:spacing w:after="0"/>
              <w:rPr>
                <w:sz w:val="20"/>
                <w:szCs w:val="20"/>
                <w:color w:val="auto"/>
              </w:rPr>
            </w:pPr>
            <w:r>
              <w:rPr>
                <w:rFonts w:ascii="Arial" w:cs="Arial" w:eastAsia="Arial" w:hAnsi="Arial"/>
                <w:sz w:val="16"/>
                <w:szCs w:val="16"/>
                <w:color w:val="auto"/>
              </w:rPr>
              <w:t>Goodwill and intangible assets, net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224"/>
        </w:trPr>
        <w:tc>
          <w:tcPr>
            <w:tcW w:w="8120" w:type="dxa"/>
            <w:vAlign w:val="bottom"/>
          </w:tcPr>
          <w:p>
            <w:pPr>
              <w:ind w:left="20"/>
              <w:spacing w:after="0"/>
              <w:rPr>
                <w:sz w:val="20"/>
                <w:szCs w:val="20"/>
                <w:color w:val="auto"/>
              </w:rPr>
            </w:pPr>
            <w:r>
              <w:rPr>
                <w:rFonts w:ascii="Arial" w:cs="Arial" w:eastAsia="Arial" w:hAnsi="Arial"/>
                <w:sz w:val="16"/>
                <w:szCs w:val="16"/>
                <w:color w:val="auto"/>
              </w:rPr>
              <w:t>Other noncurrent financial assets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23"/>
        </w:trPr>
        <w:tc>
          <w:tcPr>
            <w:tcW w:w="8120" w:type="dxa"/>
            <w:vAlign w:val="bottom"/>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33"/>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assets</w:t>
            </w: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12,037</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12,041</w:t>
            </w:r>
          </w:p>
        </w:tc>
      </w:tr>
      <w:tr>
        <w:trPr>
          <w:trHeight w:val="257"/>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17,844</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17,841</w:t>
            </w:r>
          </w:p>
        </w:tc>
      </w:tr>
      <w:tr>
        <w:trPr>
          <w:trHeight w:val="257"/>
        </w:trPr>
        <w:tc>
          <w:tcPr>
            <w:tcW w:w="8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16"/>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2,321</w:t>
            </w:r>
          </w:p>
        </w:tc>
        <w:tc>
          <w:tcPr>
            <w:tcW w:w="80" w:type="dxa"/>
            <w:vAlign w:val="bottom"/>
          </w:tcPr>
          <w:p>
            <w:pPr>
              <w:spacing w:after="0"/>
              <w:rPr>
                <w:sz w:val="19"/>
                <w:szCs w:val="19"/>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2,849</w:t>
            </w: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23"/>
        </w:trPr>
        <w:tc>
          <w:tcPr>
            <w:tcW w:w="8120" w:type="dxa"/>
            <w:vAlign w:val="bottom"/>
          </w:tcPr>
          <w:p>
            <w:pPr>
              <w:ind w:left="20"/>
              <w:spacing w:after="0"/>
              <w:rPr>
                <w:sz w:val="20"/>
                <w:szCs w:val="20"/>
                <w:color w:val="auto"/>
              </w:rPr>
            </w:pPr>
            <w:r>
              <w:rPr>
                <w:rFonts w:ascii="Arial" w:cs="Arial" w:eastAsia="Arial" w:hAnsi="Arial"/>
                <w:sz w:val="16"/>
                <w:szCs w:val="16"/>
                <w:color w:val="auto"/>
              </w:rPr>
              <w:t>Current portion of deferred income from government grants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lease obligations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23"/>
        </w:trPr>
        <w:tc>
          <w:tcPr>
            <w:tcW w:w="812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33"/>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2,748</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3,359</w:t>
            </w:r>
          </w:p>
        </w:tc>
      </w:tr>
      <w:tr>
        <w:trPr>
          <w:trHeight w:val="196"/>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of long-term debt</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2,288</w:t>
            </w:r>
          </w:p>
        </w:tc>
      </w:tr>
      <w:tr>
        <w:trPr>
          <w:trHeight w:val="223"/>
        </w:trPr>
        <w:tc>
          <w:tcPr>
            <w:tcW w:w="8120" w:type="dxa"/>
            <w:vAlign w:val="bottom"/>
          </w:tcPr>
          <w:p>
            <w:pPr>
              <w:ind w:left="20"/>
              <w:spacing w:after="0"/>
              <w:rPr>
                <w:sz w:val="20"/>
                <w:szCs w:val="20"/>
                <w:color w:val="auto"/>
              </w:rPr>
            </w:pPr>
            <w:r>
              <w:rPr>
                <w:rFonts w:ascii="Arial" w:cs="Arial" w:eastAsia="Arial" w:hAnsi="Arial"/>
                <w:sz w:val="16"/>
                <w:szCs w:val="16"/>
                <w:color w:val="auto"/>
              </w:rPr>
              <w:t>Noncurrent portion of deferred income from government grants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23"/>
        </w:trPr>
        <w:tc>
          <w:tcPr>
            <w:tcW w:w="8120" w:type="dxa"/>
            <w:vAlign w:val="bottom"/>
          </w:tcPr>
          <w:p>
            <w:pPr>
              <w:ind w:left="20"/>
              <w:spacing w:after="0"/>
              <w:rPr>
                <w:sz w:val="20"/>
                <w:szCs w:val="20"/>
                <w:color w:val="auto"/>
              </w:rPr>
            </w:pPr>
            <w:r>
              <w:rPr>
                <w:rFonts w:ascii="Arial" w:cs="Arial" w:eastAsia="Arial" w:hAnsi="Arial"/>
                <w:sz w:val="16"/>
                <w:szCs w:val="16"/>
                <w:color w:val="auto"/>
              </w:rPr>
              <w:t>Noncurrent portion of lease obligations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1,313</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1,474</w:t>
            </w:r>
          </w:p>
        </w:tc>
      </w:tr>
      <w:tr>
        <w:trPr>
          <w:trHeight w:val="25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noncurrent liabilities</w:t>
            </w: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4,265</w:t>
            </w:r>
          </w:p>
        </w:tc>
        <w:tc>
          <w:tcPr>
            <w:tcW w:w="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4,522</w:t>
            </w:r>
          </w:p>
        </w:tc>
      </w:tr>
      <w:tr>
        <w:trPr>
          <w:trHeight w:val="270"/>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7,013</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7,881</w:t>
            </w:r>
          </w:p>
        </w:tc>
      </w:tr>
      <w:tr>
        <w:trPr>
          <w:trHeight w:val="230"/>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Equity:</w:t>
            </w: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capital</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19"/>
        </w:trPr>
        <w:tc>
          <w:tcPr>
            <w:tcW w:w="8120" w:type="dxa"/>
            <w:vAlign w:val="bottom"/>
          </w:tcPr>
          <w:p>
            <w:pPr>
              <w:ind w:left="20"/>
              <w:spacing w:after="0"/>
              <w:rPr>
                <w:sz w:val="20"/>
                <w:szCs w:val="20"/>
                <w:color w:val="auto"/>
              </w:rPr>
            </w:pPr>
            <w:r>
              <w:rPr>
                <w:rFonts w:ascii="Arial" w:cs="Arial" w:eastAsia="Arial" w:hAnsi="Arial"/>
                <w:sz w:val="16"/>
                <w:szCs w:val="16"/>
                <w:color w:val="auto"/>
              </w:rPr>
              <w:t>Ordinary shares, $0.02 par value, 553,199 thousand and 547,755 thousand shares issued and outstanding as of</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7"/>
        </w:trPr>
        <w:tc>
          <w:tcPr>
            <w:tcW w:w="8120" w:type="dxa"/>
            <w:vAlign w:val="bottom"/>
          </w:tcPr>
          <w:p>
            <w:pPr>
              <w:ind w:left="20"/>
              <w:spacing w:after="0"/>
              <w:rPr>
                <w:sz w:val="20"/>
                <w:szCs w:val="20"/>
                <w:color w:val="auto"/>
              </w:rPr>
            </w:pPr>
            <w:r>
              <w:rPr>
                <w:rFonts w:ascii="Arial" w:cs="Arial" w:eastAsia="Arial" w:hAnsi="Arial"/>
                <w:sz w:val="16"/>
                <w:szCs w:val="16"/>
                <w:color w:val="auto"/>
              </w:rPr>
              <w:t>September 30, 2023 and December 31, 2022</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24,000</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23,831</w:t>
            </w:r>
          </w:p>
        </w:tc>
      </w:tr>
      <w:tr>
        <w:trPr>
          <w:trHeight w:val="224"/>
        </w:trPr>
        <w:tc>
          <w:tcPr>
            <w:tcW w:w="812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(13,278)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(14,021)</w:t>
            </w: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w:t>
            </w: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29"/>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Equity attributable to the shareholders of GLOBALFOUNDRIES INC.</w:t>
            </w:r>
          </w:p>
        </w:tc>
        <w:tc>
          <w:tcPr>
            <w:tcW w:w="5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10,787</w:t>
            </w: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9,913</w:t>
            </w:r>
          </w:p>
        </w:tc>
      </w:tr>
      <w:tr>
        <w:trPr>
          <w:trHeight w:val="21"/>
        </w:trPr>
        <w:tc>
          <w:tcPr>
            <w:tcW w:w="8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5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10,831</w:t>
            </w:r>
          </w:p>
        </w:tc>
        <w:tc>
          <w:tcPr>
            <w:tcW w:w="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9,960</w:t>
            </w:r>
          </w:p>
        </w:tc>
      </w:tr>
      <w:tr>
        <w:trPr>
          <w:trHeight w:val="25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17,844</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ectPr>
          <w:pgSz w:w="11900" w:h="16838" w:orient="portrait"/>
          <w:cols w:equalWidth="0" w:num="1">
            <w:col w:w="11240"/>
          </w:cols>
          <w:pgMar w:left="320" w:top="94" w:right="339" w:bottom="990" w:gutter="0" w:footer="0" w:header="0"/>
          <w:type w:val="continuous"/>
        </w:sect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99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ind w:left="3280" w:right="2120" w:hanging="492"/>
        <w:spacing w:after="0" w:line="259" w:lineRule="auto"/>
        <w:rPr>
          <w:sz w:val="20"/>
          <w:szCs w:val="20"/>
          <w:color w:val="auto"/>
        </w:rPr>
      </w:pPr>
      <w:r>
        <w:rPr>
          <w:rFonts w:ascii="Arial" w:cs="Arial" w:eastAsia="Arial" w:hAnsi="Arial"/>
          <w:sz w:val="16"/>
          <w:szCs w:val="16"/>
          <w:b w:val="1"/>
          <w:bCs w:val="1"/>
          <w:color w:val="auto"/>
        </w:rPr>
        <w:t>INTERIM CONDENSED CONSOLIDATED STATEMENTS OF OPERATIONS FOR THE Three and Nine Months Ended September 30, 2023 AND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274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8"/>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share amounts)</w:t>
            </w:r>
          </w:p>
        </w:tc>
        <w:tc>
          <w:tcPr>
            <w:tcW w:w="10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September 30,</w:t>
            </w:r>
          </w:p>
        </w:tc>
      </w:tr>
      <w:tr>
        <w:trPr>
          <w:trHeight w:val="229"/>
        </w:trPr>
        <w:tc>
          <w:tcPr>
            <w:tcW w:w="4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1"/>
        </w:trPr>
        <w:tc>
          <w:tcPr>
            <w:tcW w:w="4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6,007</w:t>
            </w:r>
          </w:p>
        </w:tc>
      </w:tr>
      <w:tr>
        <w:trPr>
          <w:trHeight w:val="224"/>
        </w:trPr>
        <w:tc>
          <w:tcPr>
            <w:tcW w:w="45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1,323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4,390</w:t>
            </w:r>
          </w:p>
        </w:tc>
      </w:tr>
      <w:tr>
        <w:trPr>
          <w:trHeight w:val="33"/>
        </w:trPr>
        <w:tc>
          <w:tcPr>
            <w:tcW w:w="4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1,617</w:t>
            </w:r>
          </w:p>
        </w:tc>
      </w:tr>
      <w:tr>
        <w:trPr>
          <w:trHeight w:val="217"/>
        </w:trPr>
        <w:tc>
          <w:tcPr>
            <w:tcW w:w="452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w:t>
            </w:r>
          </w:p>
        </w:tc>
      </w:tr>
      <w:tr>
        <w:trPr>
          <w:trHeight w:val="33"/>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31"/>
        </w:trPr>
        <w:tc>
          <w:tcPr>
            <w:tcW w:w="452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
        </w:trPr>
        <w:tc>
          <w:tcPr>
            <w:tcW w:w="4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738</w:t>
            </w:r>
          </w:p>
        </w:tc>
      </w:tr>
      <w:tr>
        <w:trPr>
          <w:trHeight w:val="229"/>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Profit from operations</w:t>
            </w: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261</w:t>
            </w: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357</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879</w:t>
            </w:r>
          </w:p>
        </w:tc>
      </w:tr>
      <w:tr>
        <w:trPr>
          <w:trHeight w:val="21"/>
        </w:trPr>
        <w:tc>
          <w:tcPr>
            <w:tcW w:w="4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income (expense) net</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24"/>
        </w:trPr>
        <w:tc>
          <w:tcPr>
            <w:tcW w:w="4520" w:type="dxa"/>
            <w:vAlign w:val="bottom"/>
          </w:tcPr>
          <w:p>
            <w:pPr>
              <w:ind w:left="20"/>
              <w:spacing w:after="0"/>
              <w:rPr>
                <w:sz w:val="20"/>
                <w:szCs w:val="20"/>
                <w:color w:val="auto"/>
              </w:rPr>
            </w:pPr>
            <w:r>
              <w:rPr>
                <w:rFonts w:ascii="Arial" w:cs="Arial" w:eastAsia="Arial" w:hAnsi="Arial"/>
                <w:sz w:val="16"/>
                <w:szCs w:val="16"/>
                <w:color w:val="auto"/>
              </w:rPr>
              <w:t>Share of profit of joint ventures</w:t>
            </w:r>
          </w:p>
        </w:tc>
        <w:tc>
          <w:tcPr>
            <w:tcW w:w="10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29"/>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Profit before income taxes</w:t>
            </w: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243</w:t>
            </w: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355</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785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856</w:t>
            </w:r>
          </w:p>
        </w:tc>
      </w:tr>
      <w:tr>
        <w:trPr>
          <w:trHeight w:val="21"/>
        </w:trPr>
        <w:tc>
          <w:tcPr>
            <w:tcW w:w="4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29"/>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Net income for the period</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249</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336</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740</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778</w:t>
            </w:r>
          </w:p>
        </w:tc>
      </w:tr>
      <w:tr>
        <w:trPr>
          <w:trHeight w:val="21"/>
        </w:trPr>
        <w:tc>
          <w:tcPr>
            <w:tcW w:w="4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Attributable to:</w:t>
            </w: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24"/>
        </w:trPr>
        <w:tc>
          <w:tcPr>
            <w:tcW w:w="452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780</w:t>
            </w:r>
          </w:p>
        </w:tc>
      </w:tr>
      <w:tr>
        <w:trPr>
          <w:trHeight w:val="33"/>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57"/>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 for the period</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w:t>
            </w:r>
          </w:p>
        </w:tc>
        <w:tc>
          <w:tcPr>
            <w:tcW w:w="100" w:type="dxa"/>
            <w:vAlign w:val="bottom"/>
            <w:tcBorders>
              <w:bottom w:val="single" w:sz="8" w:color="CCEEFF"/>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740</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778</w:t>
            </w:r>
          </w:p>
        </w:tc>
      </w:tr>
      <w:tr>
        <w:trPr>
          <w:trHeight w:val="198"/>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per share attributable to the equity holders</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of the Company:</w:t>
            </w:r>
          </w:p>
        </w:tc>
        <w:tc>
          <w:tcPr>
            <w:tcW w:w="10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24"/>
        </w:trPr>
        <w:tc>
          <w:tcPr>
            <w:tcW w:w="4520" w:type="dxa"/>
            <w:vAlign w:val="bottom"/>
          </w:tcPr>
          <w:p>
            <w:pPr>
              <w:ind w:left="20"/>
              <w:spacing w:after="0"/>
              <w:rPr>
                <w:sz w:val="20"/>
                <w:szCs w:val="20"/>
                <w:color w:val="auto"/>
              </w:rPr>
            </w:pPr>
            <w:r>
              <w:rPr>
                <w:rFonts w:ascii="Arial" w:cs="Arial" w:eastAsia="Arial" w:hAnsi="Arial"/>
                <w:sz w:val="16"/>
                <w:szCs w:val="16"/>
                <w:color w:val="auto"/>
              </w:rPr>
              <w:t>Basic weighted average common shares outstanding</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537</w:t>
            </w:r>
          </w:p>
        </w:tc>
      </w:tr>
      <w:tr>
        <w:trPr>
          <w:trHeight w:val="33"/>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 outstanding</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w:t>
            </w:r>
          </w:p>
        </w:tc>
      </w:tr>
      <w:tr>
        <w:trPr>
          <w:trHeight w:val="223"/>
        </w:trPr>
        <w:tc>
          <w:tcPr>
            <w:tcW w:w="452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9"/>
                <w:szCs w:val="19"/>
                <w:color w:val="auto"/>
              </w:rPr>
            </w:pP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33"/>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33"/>
        </w:trPr>
        <w:tc>
          <w:tcPr>
            <w:tcW w:w="4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spacing w:after="0" w:line="309" w:lineRule="auto"/>
        <w:rPr>
          <w:sz w:val="20"/>
          <w:szCs w:val="20"/>
          <w:color w:val="auto"/>
        </w:rPr>
      </w:pPr>
      <w:r>
        <w:rPr>
          <w:rFonts w:ascii="Arial" w:cs="Arial" w:eastAsia="Arial" w:hAnsi="Arial"/>
          <w:sz w:val="16"/>
          <w:szCs w:val="16"/>
          <w:b w:val="1"/>
          <w:bCs w:val="1"/>
          <w:color w:val="auto"/>
        </w:rPr>
        <w:t>INTERIM CONDENSED CONSOLIDATED STATEMENT OF COMPREHENSIVE INCOME FOR THE Three and Nine Months Ended September 30, 2023 AND 2022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266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48"/>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21"/>
                <w:szCs w:val="21"/>
                <w:color w:val="auto"/>
              </w:rPr>
            </w:pPr>
          </w:p>
        </w:tc>
      </w:tr>
      <w:tr>
        <w:trPr>
          <w:trHeight w:val="229"/>
        </w:trPr>
        <w:tc>
          <w:tcPr>
            <w:tcW w:w="5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21"/>
        </w:trPr>
        <w:tc>
          <w:tcPr>
            <w:tcW w:w="5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6"/>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for the period</w:t>
            </w: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3"/>
        </w:trPr>
        <w:tc>
          <w:tcPr>
            <w:tcW w:w="5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w:t>
            </w:r>
          </w:p>
        </w:tc>
      </w:tr>
      <w:tr>
        <w:trPr>
          <w:trHeight w:val="224"/>
        </w:trPr>
        <w:tc>
          <w:tcPr>
            <w:tcW w:w="510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9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5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for the period</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778</w:t>
            </w:r>
          </w:p>
        </w:tc>
      </w:tr>
      <w:tr>
        <w:trPr>
          <w:trHeight w:val="250"/>
        </w:trPr>
        <w:tc>
          <w:tcPr>
            <w:tcW w:w="510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36"/>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net of tax:</w:t>
            </w: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6"/>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Items that may be reclassified subsequently to profit:</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
        </w:trPr>
        <w:tc>
          <w:tcPr>
            <w:tcW w:w="5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of foreign exchange fluctuation reserve of joint ventures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24"/>
        </w:trPr>
        <w:tc>
          <w:tcPr>
            <w:tcW w:w="5100" w:type="dxa"/>
            <w:vAlign w:val="bottom"/>
          </w:tcPr>
          <w:p>
            <w:pPr>
              <w:ind w:left="20"/>
              <w:spacing w:after="0"/>
              <w:rPr>
                <w:sz w:val="20"/>
                <w:szCs w:val="20"/>
                <w:color w:val="auto"/>
              </w:rPr>
            </w:pPr>
            <w:r>
              <w:rPr>
                <w:rFonts w:ascii="Arial" w:cs="Arial" w:eastAsia="Arial" w:hAnsi="Arial"/>
                <w:sz w:val="16"/>
                <w:szCs w:val="16"/>
                <w:color w:val="auto"/>
              </w:rPr>
              <w:t>Effective portion of changes in the fair value of cash flow hedges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5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on investments measured at fair value through other</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9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23"/>
        </w:trPr>
        <w:tc>
          <w:tcPr>
            <w:tcW w:w="5100" w:type="dxa"/>
            <w:vAlign w:val="bottom"/>
          </w:tcPr>
          <w:p>
            <w:pPr>
              <w:ind w:left="20"/>
              <w:spacing w:after="0"/>
              <w:rPr>
                <w:sz w:val="20"/>
                <w:szCs w:val="20"/>
                <w:color w:val="auto"/>
              </w:rPr>
            </w:pPr>
            <w:r>
              <w:rPr>
                <w:rFonts w:ascii="Arial" w:cs="Arial" w:eastAsia="Arial" w:hAnsi="Arial"/>
                <w:sz w:val="16"/>
                <w:szCs w:val="16"/>
                <w:color w:val="auto"/>
              </w:rPr>
              <w:t>Income tax effect</w:t>
            </w:r>
          </w:p>
        </w:tc>
        <w:tc>
          <w:tcPr>
            <w:tcW w:w="9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5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loss for the period</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r>
      <w:tr>
        <w:trPr>
          <w:trHeight w:val="250"/>
        </w:trPr>
        <w:tc>
          <w:tcPr>
            <w:tcW w:w="510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Attributable to:</w:t>
            </w: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9"/>
                <w:szCs w:val="19"/>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5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6"/>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9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29"/>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loss for the period</w:t>
            </w: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c>
          <w:tcPr>
            <w:tcW w:w="80" w:type="dxa"/>
            <w:vAlign w:val="bottom"/>
          </w:tcPr>
          <w:p>
            <w:pPr>
              <w:spacing w:after="0"/>
              <w:rPr>
                <w:sz w:val="19"/>
                <w:szCs w:val="19"/>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r>
      <w:tr>
        <w:trPr>
          <w:trHeight w:val="21"/>
        </w:trPr>
        <w:tc>
          <w:tcPr>
            <w:tcW w:w="5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0"/>
        </w:trPr>
        <w:tc>
          <w:tcPr>
            <w:tcW w:w="5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 for the period</w:t>
            </w:r>
          </w:p>
        </w:tc>
        <w:tc>
          <w:tcPr>
            <w:tcW w:w="980" w:type="dxa"/>
            <w:vAlign w:val="bottom"/>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225</w:t>
            </w:r>
          </w:p>
        </w:tc>
        <w:tc>
          <w:tcPr>
            <w:tcW w:w="10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330</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702</w:t>
            </w:r>
          </w:p>
        </w:tc>
        <w:tc>
          <w:tcPr>
            <w:tcW w:w="80" w:type="dxa"/>
            <w:vAlign w:val="bottom"/>
          </w:tcPr>
          <w:p>
            <w:pPr>
              <w:spacing w:after="0"/>
              <w:rPr>
                <w:sz w:val="19"/>
                <w:szCs w:val="19"/>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769</w:t>
            </w:r>
          </w:p>
        </w:tc>
      </w:tr>
      <w:tr>
        <w:trPr>
          <w:trHeight w:val="21"/>
        </w:trPr>
        <w:tc>
          <w:tcPr>
            <w:tcW w:w="5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0"/>
        </w:trPr>
        <w:tc>
          <w:tcPr>
            <w:tcW w:w="5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3"/>
        </w:trPr>
        <w:tc>
          <w:tcPr>
            <w:tcW w:w="5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6"/>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w:t>
            </w:r>
          </w:p>
        </w:tc>
      </w:tr>
      <w:tr>
        <w:trPr>
          <w:trHeight w:val="223"/>
        </w:trPr>
        <w:tc>
          <w:tcPr>
            <w:tcW w:w="510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5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for the period</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702</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769</w:t>
            </w:r>
          </w:p>
        </w:tc>
      </w:tr>
      <w:tr>
        <w:trPr>
          <w:trHeight w:val="20"/>
        </w:trPr>
        <w:tc>
          <w:tcPr>
            <w:tcW w:w="5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December 31, 2021</w:t>
      </w:r>
    </w:p>
    <w:p>
      <w:pPr>
        <w:spacing w:after="0" w:line="75"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Proceeds from issuance of equity instruments</w:t>
      </w:r>
    </w:p>
    <w:p>
      <w:pPr>
        <w:spacing w:after="0" w:line="21" w:lineRule="exact"/>
        <w:rPr>
          <w:sz w:val="20"/>
          <w:szCs w:val="20"/>
          <w:color w:val="auto"/>
        </w:rPr>
      </w:pPr>
    </w:p>
    <w:p>
      <w:pPr>
        <w:spacing w:after="0" w:line="346" w:lineRule="auto"/>
        <w:rPr>
          <w:sz w:val="20"/>
          <w:szCs w:val="20"/>
          <w:color w:val="auto"/>
        </w:rPr>
      </w:pPr>
      <w:r>
        <w:rPr>
          <w:rFonts w:ascii="Arial" w:cs="Arial" w:eastAsia="Arial" w:hAnsi="Arial"/>
          <w:sz w:val="13"/>
          <w:szCs w:val="13"/>
          <w:color w:val="auto"/>
        </w:rPr>
        <w:t>Share-based compensation Net income</w:t>
      </w:r>
    </w:p>
    <w:p>
      <w:pPr>
        <w:spacing w:after="0" w:line="1" w:lineRule="exact"/>
        <w:rPr>
          <w:sz w:val="20"/>
          <w:szCs w:val="20"/>
          <w:color w:val="auto"/>
        </w:rPr>
      </w:pPr>
    </w:p>
    <w:p>
      <w:pPr>
        <w:ind w:right="340"/>
        <w:spacing w:after="0" w:line="310" w:lineRule="auto"/>
        <w:rPr>
          <w:sz w:val="20"/>
          <w:szCs w:val="20"/>
          <w:color w:val="auto"/>
        </w:rPr>
      </w:pPr>
      <w:r>
        <w:rPr>
          <w:rFonts w:ascii="Arial" w:cs="Arial" w:eastAsia="Arial" w:hAnsi="Arial"/>
          <w:sz w:val="12"/>
          <w:szCs w:val="12"/>
          <w:color w:val="auto"/>
        </w:rPr>
        <w:t>Other comprehensive income</w:t>
      </w:r>
    </w:p>
    <w:p>
      <w:pPr>
        <w:spacing w:after="0"/>
        <w:rPr>
          <w:sz w:val="20"/>
          <w:szCs w:val="20"/>
          <w:color w:val="auto"/>
        </w:rPr>
      </w:pPr>
      <w:r>
        <w:rPr>
          <w:rFonts w:ascii="Arial" w:cs="Arial" w:eastAsia="Arial" w:hAnsi="Arial"/>
          <w:sz w:val="13"/>
          <w:szCs w:val="13"/>
          <w:b w:val="1"/>
          <w:bCs w:val="1"/>
          <w:color w:val="auto"/>
        </w:rPr>
        <w:t>September 30, 2022</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December 31, 2022</w:t>
      </w:r>
    </w:p>
    <w:p>
      <w:pPr>
        <w:spacing w:after="0" w:line="75"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Proceeds from issuance of equity instruments</w:t>
      </w:r>
    </w:p>
    <w:p>
      <w:pPr>
        <w:spacing w:after="0" w:line="21" w:lineRule="exact"/>
        <w:rPr>
          <w:sz w:val="20"/>
          <w:szCs w:val="20"/>
          <w:color w:val="auto"/>
        </w:rPr>
      </w:pPr>
    </w:p>
    <w:p>
      <w:pPr>
        <w:spacing w:after="0" w:line="346" w:lineRule="auto"/>
        <w:rPr>
          <w:sz w:val="20"/>
          <w:szCs w:val="20"/>
          <w:color w:val="auto"/>
        </w:rPr>
      </w:pPr>
      <w:r>
        <w:rPr>
          <w:rFonts w:ascii="Arial" w:cs="Arial" w:eastAsia="Arial" w:hAnsi="Arial"/>
          <w:sz w:val="13"/>
          <w:szCs w:val="13"/>
          <w:color w:val="auto"/>
        </w:rPr>
        <w:t>Share-based compensation Net income</w:t>
      </w:r>
    </w:p>
    <w:p>
      <w:pPr>
        <w:spacing w:after="0" w:line="1" w:lineRule="exact"/>
        <w:rPr>
          <w:sz w:val="20"/>
          <w:szCs w:val="20"/>
          <w:color w:val="auto"/>
        </w:rPr>
      </w:pPr>
    </w:p>
    <w:p>
      <w:pPr>
        <w:ind w:right="340"/>
        <w:spacing w:after="0" w:line="320" w:lineRule="auto"/>
        <w:rPr>
          <w:sz w:val="20"/>
          <w:szCs w:val="20"/>
          <w:color w:val="auto"/>
        </w:rPr>
      </w:pPr>
      <w:r>
        <w:rPr>
          <w:rFonts w:ascii="Arial" w:cs="Arial" w:eastAsia="Arial" w:hAnsi="Arial"/>
          <w:sz w:val="12"/>
          <w:szCs w:val="12"/>
          <w:color w:val="auto"/>
        </w:rPr>
        <w:t>Other comprehensive income</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September 30, 2023</w:t>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INTERIM CONDENSED CONSOLIDATED STATEMENTS OF CHANGES IN EQUITY</w:t>
      </w:r>
    </w:p>
    <w:p>
      <w:pPr>
        <w:spacing w:after="0" w:line="12"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Nine Months Ended September 30, 2023 AND 2022</w:t>
      </w:r>
    </w:p>
    <w:p>
      <w:pPr>
        <w:spacing w:after="0" w:line="19"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40" w:type="dxa"/>
            <w:vAlign w:val="bottom"/>
            <w:gridSpan w:val="15"/>
          </w:tcPr>
          <w:p>
            <w:pPr>
              <w:ind w:left="400"/>
              <w:spacing w:after="0"/>
              <w:rPr>
                <w:sz w:val="20"/>
                <w:szCs w:val="20"/>
                <w:color w:val="auto"/>
              </w:rPr>
            </w:pPr>
            <w:r>
              <w:rPr>
                <w:rFonts w:ascii="Arial" w:cs="Arial" w:eastAsia="Arial" w:hAnsi="Arial"/>
                <w:sz w:val="13"/>
                <w:szCs w:val="13"/>
                <w:b w:val="1"/>
                <w:bCs w:val="1"/>
                <w:color w:val="auto"/>
              </w:rPr>
              <w:t>Equity Attributable to Shareholders of GLOBALFOUNDRIES Inc.</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56"/>
        </w:trPr>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Foreign</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149"/>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Currency</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2"/>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Translation</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and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8"/>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6"/>
              </w:rPr>
              <w:t>Paid-In</w:t>
            </w:r>
          </w:p>
        </w:tc>
        <w:tc>
          <w:tcPr>
            <w:tcW w:w="8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Hedging</w:t>
            </w:r>
          </w:p>
        </w:tc>
        <w:tc>
          <w:tcPr>
            <w:tcW w:w="10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Investments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Controlling</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89"/>
        </w:trPr>
        <w:tc>
          <w:tcPr>
            <w:tcW w:w="186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Shares</w:t>
            </w:r>
          </w:p>
        </w:tc>
        <w:tc>
          <w:tcPr>
            <w:tcW w:w="100" w:type="dxa"/>
            <w:vAlign w:val="bottom"/>
          </w:tcPr>
          <w:p>
            <w:pPr>
              <w:spacing w:after="0"/>
              <w:rPr>
                <w:sz w:val="16"/>
                <w:szCs w:val="16"/>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Deficit</w:t>
            </w:r>
          </w:p>
        </w:tc>
        <w:tc>
          <w:tcPr>
            <w:tcW w:w="10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Reserve</w:t>
            </w:r>
          </w:p>
        </w:tc>
        <w:tc>
          <w:tcPr>
            <w:tcW w:w="10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Reserves</w:t>
            </w:r>
          </w:p>
        </w:tc>
        <w:tc>
          <w:tcPr>
            <w:tcW w:w="18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Interest</w:t>
            </w: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Total Equity</w:t>
            </w:r>
          </w:p>
        </w:tc>
      </w:tr>
      <w:tr>
        <w:trPr>
          <w:trHeight w:val="22"/>
        </w:trPr>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74"/>
        </w:trPr>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5"/>
        </w:trPr>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431"/>
        </w:trPr>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532</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23,487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(15,469)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(57)</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7,975</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58</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8,033</w:t>
            </w:r>
          </w:p>
        </w:tc>
      </w:tr>
      <w:tr>
        <w:trPr>
          <w:trHeight w:val="357"/>
        </w:trPr>
        <w:tc>
          <w:tcPr>
            <w:tcW w:w="84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142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142</w:t>
            </w:r>
          </w:p>
        </w:tc>
      </w:tr>
      <w:tr>
        <w:trPr>
          <w:trHeight w:val="216"/>
        </w:trPr>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137</w:t>
            </w:r>
          </w:p>
        </w:tc>
      </w:tr>
      <w:tr>
        <w:trPr>
          <w:trHeight w:val="216"/>
        </w:trPr>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778</w:t>
            </w:r>
          </w:p>
        </w:tc>
      </w:tr>
      <w:tr>
        <w:trPr>
          <w:trHeight w:val="364"/>
        </w:trPr>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43"/>
        </w:trPr>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74"/>
        </w:trPr>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545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23,766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(14,689)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(38)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(11)</w:t>
            </w:r>
          </w:p>
        </w:tc>
        <w:tc>
          <w:tcPr>
            <w:tcW w:w="16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auto"/>
              </w:rPr>
              <w:t>9,040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41</w:t>
            </w:r>
          </w:p>
        </w:tc>
        <w:tc>
          <w:tcPr>
            <w:tcW w:w="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9,081</w:t>
            </w:r>
          </w:p>
        </w:tc>
      </w:tr>
      <w:tr>
        <w:trPr>
          <w:trHeight w:val="35"/>
        </w:trPr>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323"/>
        </w:trPr>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548</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23,831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(14,021)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103</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(11)</w:t>
            </w:r>
          </w:p>
        </w:tc>
        <w:tc>
          <w:tcPr>
            <w:tcW w:w="16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auto"/>
              </w:rPr>
              <w:t>9,913</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47</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9,960</w:t>
            </w:r>
          </w:p>
        </w:tc>
      </w:tr>
      <w:tr>
        <w:trPr>
          <w:trHeight w:val="357"/>
        </w:trPr>
        <w:tc>
          <w:tcPr>
            <w:tcW w:w="84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216"/>
        </w:trPr>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120</w:t>
            </w:r>
          </w:p>
        </w:tc>
      </w:tr>
      <w:tr>
        <w:trPr>
          <w:trHeight w:val="216"/>
        </w:trPr>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740</w:t>
            </w:r>
          </w:p>
        </w:tc>
      </w:tr>
      <w:tr>
        <w:trPr>
          <w:trHeight w:val="364"/>
        </w:trPr>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43"/>
        </w:trPr>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553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24,000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(13,278)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66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(12)</w:t>
            </w:r>
          </w:p>
        </w:tc>
        <w:tc>
          <w:tcPr>
            <w:tcW w:w="16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auto"/>
              </w:rPr>
              <w:t>10,787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44</w:t>
            </w:r>
          </w:p>
        </w:tc>
        <w:tc>
          <w:tcPr>
            <w:tcW w:w="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10,831</w:t>
            </w:r>
          </w:p>
        </w:tc>
      </w:tr>
      <w:tr>
        <w:trPr>
          <w:trHeight w:val="35"/>
        </w:trPr>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1"/>
        </w:trPr>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-2176780</wp:posOffset>
            </wp:positionV>
            <wp:extent cx="648906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9065" cy="137160"/>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-1807845</wp:posOffset>
            </wp:positionV>
            <wp:extent cx="648906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9065" cy="137160"/>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-1533525</wp:posOffset>
            </wp:positionV>
            <wp:extent cx="6489065" cy="231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9065" cy="231140"/>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-1156335</wp:posOffset>
            </wp:positionV>
            <wp:extent cx="6489065"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9065" cy="102870"/>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-916940</wp:posOffset>
            </wp:positionV>
            <wp:extent cx="6489065" cy="231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9065" cy="23177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-548005</wp:posOffset>
            </wp:positionV>
            <wp:extent cx="648906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9065" cy="137160"/>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-179705</wp:posOffset>
            </wp:positionV>
            <wp:extent cx="648906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8906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120"/>
            <w:col w:w="8540"/>
          </w:cols>
          <w:pgMar w:left="340" w:top="9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9"/>
        <w:spacing w:after="0"/>
        <w:rPr>
          <w:sz w:val="20"/>
          <w:szCs w:val="20"/>
          <w:color w:val="auto"/>
        </w:rPr>
      </w:pPr>
      <w:r>
        <w:rPr>
          <w:rFonts w:ascii="Arial" w:cs="Arial" w:eastAsia="Arial" w:hAnsi="Arial"/>
          <w:sz w:val="17"/>
          <w:szCs w:val="17"/>
          <w:color w:val="auto"/>
        </w:rPr>
        <w:t>The accompanying notes are an integral part of these interim condensed consolidated financial statements</w:t>
      </w:r>
    </w:p>
    <w:p>
      <w:pPr>
        <w:spacing w:after="0" w:line="2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40" w:top="94" w:right="135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CASH FLOWS FOR THE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30, 2023 AND 2022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26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9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 taxes paid and finance income (expense), net</w:t>
            </w:r>
          </w:p>
        </w:tc>
        <w:tc>
          <w:tcPr>
            <w:tcW w:w="10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Amortization of deferred income from government grants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(Gain) Loss on disposal of property, plant and equipment and other</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assets and liabilities: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Receivables, prepayments, other assets and other noncurrent assets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Trade and other payables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2,133</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 net</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(1,499)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(2,009)</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of intangible assets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1"/>
        </w:trPr>
        <w:tc>
          <w:tcPr>
            <w:tcW w:w="7980" w:type="dxa"/>
            <w:vAlign w:val="bottom"/>
          </w:tcPr>
          <w:p>
            <w:pPr>
              <w:ind w:left="20"/>
              <w:spacing w:after="0"/>
              <w:rPr>
                <w:sz w:val="20"/>
                <w:szCs w:val="20"/>
                <w:color w:val="auto"/>
              </w:rPr>
            </w:pPr>
            <w:r>
              <w:rPr>
                <w:rFonts w:ascii="Arial" w:cs="Arial" w:eastAsia="Arial" w:hAnsi="Arial"/>
                <w:sz w:val="16"/>
                <w:szCs w:val="16"/>
                <w:color w:val="auto"/>
              </w:rPr>
              <w:t>Proceeds from the sale of EFK business</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Advances and proceeds from sale of property, plant and equipment and intangible assets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Purchases of investment in marketable securities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the sale of investment in marketable securities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(3,007)</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Net proceeds from borrowings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of debt and finance lease obligations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Proceeds from issuance of equity instruments and other</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482</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2,352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2,939</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9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payable for property, plant and equipment</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color w:val="auto"/>
              </w:rPr>
              <w:t>Property, plant and equipment acquired through lease</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payable for intangible assets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ectPr>
          <w:pgSz w:w="11900" w:h="16838" w:orient="portrait"/>
          <w:cols w:equalWidth="0" w:num="1">
            <w:col w:w="11240"/>
          </w:cols>
          <w:pgMar w:left="320" w:top="94" w:right="339" w:bottom="1440" w:gutter="0" w:footer="0" w:header="0"/>
        </w:sect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Corporate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Operations</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GLOBALFOUNDRIES and its subsidiaries (together referred to as the “Company”, “GlobalFoundries”, “GF”, “we”, or “us”) is one of the world’s leading semiconductor foundries and offers a full range of mainstream wafer fabrication services and technologies. The Company manufactures a broad range of semiconductor devices, including microprocessors, mobile application processors, baseband processors, network processors, radio frequency modems, microcontroller, and power management units.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Basis of Presentation and Summary of Significant Accounting Policies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Statement of Compliance — </w:t>
      </w:r>
      <w:r>
        <w:rPr>
          <w:rFonts w:ascii="Arial" w:cs="Arial" w:eastAsia="Arial" w:hAnsi="Arial"/>
          <w:sz w:val="16"/>
          <w:szCs w:val="16"/>
          <w:color w:val="auto"/>
        </w:rPr>
        <w:t>The accompanying interim condensed consolidated financial statements have been prepared by management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 accordance with the rules and regulations of the International Financial Reporting Standards (“IFRS”) as issued by the International Accounting Standards Board (“IASB”). The interim condensed consolidated financial statements do not include all the information and disclosures required in the annual consolidated financial statements prepared in accordance with IFRS as issued by the IASB and should be read in conjunction with the Company’s annual consolidated financial statements, included in GLOBALFOUNDRIES' Annual Report on Form 20-F for the year ended December 31, 2022.</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interim condensed consolidated financial statements were authorized by the Audit, Risk and Compliance Committee of GLOBALFOUNDRIES’ Board of Directors on November 5, 2023, to be issued and subsequent events have been evaluated for their potential effect on the interim condensed consolidated financial statements through November 7, 2023.</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auto"/>
        </w:rPr>
        <w:t xml:space="preserve">Significant Accounting Judgments, Estimates and Assumptions — </w:t>
      </w:r>
      <w:r>
        <w:rPr>
          <w:rFonts w:ascii="Arial" w:cs="Arial" w:eastAsia="Arial" w:hAnsi="Arial"/>
          <w:sz w:val="16"/>
          <w:szCs w:val="16"/>
          <w:color w:val="auto"/>
        </w:rPr>
        <w:t>The preparation of financial statements in accordance with International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Standards (“IAS”) 34, Interim Financial Reporting, requires the use of certain critical accounting estimates. It also requires management to exercise judgment in applying the Company’s accounting policies. In the opinion of management, all adjustments, consisting solely of normal recurring adjustments necessary for a fair presentation of the financial information for the periods indicated, have been included. The results for the three and nine months ended September 30, 2023 are not necessarily indicative of the results that may be expected for the year ending December 31, 2023.</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Significant Accounting Policies — </w:t>
      </w:r>
      <w:r>
        <w:rPr>
          <w:rFonts w:ascii="Arial" w:cs="Arial" w:eastAsia="Arial" w:hAnsi="Arial"/>
          <w:sz w:val="16"/>
          <w:szCs w:val="16"/>
          <w:color w:val="auto"/>
        </w:rPr>
        <w:t>Except as set forth below, the accounting policies (including accounting judgements, estimates and assumptions)</w:t>
      </w:r>
      <w:r>
        <w:rPr>
          <w:rFonts w:ascii="Arial" w:cs="Arial" w:eastAsia="Arial" w:hAnsi="Arial"/>
          <w:sz w:val="16"/>
          <w:szCs w:val="16"/>
          <w:b w:val="1"/>
          <w:bCs w:val="1"/>
          <w:color w:val="auto"/>
        </w:rPr>
        <w:t xml:space="preserve"> </w:t>
      </w:r>
      <w:r>
        <w:rPr>
          <w:rFonts w:ascii="Arial" w:cs="Arial" w:eastAsia="Arial" w:hAnsi="Arial"/>
          <w:sz w:val="16"/>
          <w:szCs w:val="16"/>
          <w:color w:val="auto"/>
        </w:rPr>
        <w:t>adopted in the preparation of the interim condensed consolidated financial statements are consistent with those followed in the preparation of the Company's annual audited consolidated financial statements contained in our Annual Report on Form 20-F for the year ended December 31, 2022.</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Property, Plant and Equipment — </w:t>
      </w:r>
      <w:r>
        <w:rPr>
          <w:rFonts w:ascii="Arial" w:cs="Arial" w:eastAsia="Arial" w:hAnsi="Arial"/>
          <w:sz w:val="16"/>
          <w:szCs w:val="16"/>
          <w:color w:val="auto"/>
        </w:rPr>
        <w:t>We periodically assess the estimated useful lives of property, plant and equipment. As a result of a review completed in</w:t>
      </w:r>
      <w:r>
        <w:rPr>
          <w:rFonts w:ascii="Arial" w:cs="Arial" w:eastAsia="Arial" w:hAnsi="Arial"/>
          <w:sz w:val="16"/>
          <w:szCs w:val="16"/>
          <w:b w:val="1"/>
          <w:bCs w:val="1"/>
          <w:color w:val="auto"/>
        </w:rPr>
        <w:t xml:space="preserve"> </w:t>
      </w:r>
      <w:r>
        <w:rPr>
          <w:rFonts w:ascii="Arial" w:cs="Arial" w:eastAsia="Arial" w:hAnsi="Arial"/>
          <w:sz w:val="16"/>
          <w:szCs w:val="16"/>
          <w:color w:val="auto"/>
        </w:rPr>
        <w:t>April 2023, the Company concluded the estimated maximum useful life of certain buildings should be increased from 26 years to 50 years. This change in estimate was applied prospectively, effective beginning in the first quarter of 2023. The impact of the change in estimated useful lives of certain buildings resulted in an increase to net income before income taxes of $28 million and $51 million for the three and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Net Revenue</w:t>
      </w:r>
    </w:p>
    <w:p>
      <w:pPr>
        <w:spacing w:after="0" w:line="2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table presents the Company’s revenue disaggregated based on revenue source and timing of revenue recognition for the three and nine month periods ended September 30, 2023 and 2022. The Company believes these categories best depict the nature and timing of revenue:</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2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9"/>
                <w:szCs w:val="19"/>
                <w:color w:val="auto"/>
              </w:rPr>
            </w:pPr>
          </w:p>
        </w:tc>
        <w:tc>
          <w:tcPr>
            <w:tcW w:w="31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line="169" w:lineRule="exact"/>
              <w:rPr>
                <w:sz w:val="20"/>
                <w:szCs w:val="20"/>
                <w:color w:val="auto"/>
              </w:rPr>
            </w:pPr>
            <w:r>
              <w:rPr>
                <w:rFonts w:ascii="Arial" w:cs="Arial" w:eastAsia="Arial" w:hAnsi="Arial"/>
                <w:sz w:val="16"/>
                <w:szCs w:val="16"/>
                <w:color w:val="auto"/>
              </w:rPr>
              <w:t>Type of goods and services: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Wafer fabrication</w:t>
            </w:r>
          </w:p>
        </w:tc>
        <w:tc>
          <w:tcPr>
            <w:tcW w:w="2360" w:type="dxa"/>
            <w:vAlign w:val="bottom"/>
            <w:tcBorders>
              <w:top w:val="single" w:sz="8" w:color="CCEEFF"/>
            </w:tcBorders>
            <w:gridSpan w:val="2"/>
          </w:tcPr>
          <w:p>
            <w:pPr>
              <w:spacing w:after="0"/>
              <w:rPr>
                <w:sz w:val="19"/>
                <w:szCs w:val="19"/>
                <w:color w:val="auto"/>
              </w:rPr>
            </w:pPr>
          </w:p>
        </w:tc>
        <w:tc>
          <w:tcPr>
            <w:tcW w:w="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1,958</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5,107</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5,667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Engineering and other pre-fabrication services</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1,852</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2,074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5,538</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6,007</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gridSpan w:val="3"/>
          </w:tcPr>
          <w:p>
            <w:pPr>
              <w:spacing w:after="0"/>
              <w:rPr>
                <w:sz w:val="20"/>
                <w:szCs w:val="20"/>
                <w:color w:val="auto"/>
              </w:rPr>
            </w:pPr>
            <w:r>
              <w:rPr>
                <w:rFonts w:ascii="Arial" w:cs="Arial" w:eastAsia="Arial" w:hAnsi="Arial"/>
                <w:sz w:val="16"/>
                <w:szCs w:val="16"/>
                <w:color w:val="auto"/>
              </w:rPr>
              <w:t>Timing of revenue recognition:</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Revenue recognized over time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6"/>
                <w:szCs w:val="16"/>
                <w:color w:val="auto"/>
              </w:rPr>
              <w:t>Revenue recognized at a point in time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5,206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5,663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1,852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Income taxes</w:t>
      </w:r>
    </w:p>
    <w:p>
      <w:pPr>
        <w:spacing w:after="0" w:line="25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For tax reporting purposes, the Company consolidates its entities under GLOBALFOUNDRIES Inc., a Cayman Islands entity. As a Cayman Islands corporation, the Company’s domestic statutory income tax rate is 0.0%. The difference between the Company’s domestic statutory income tax rate and its effective income tax rate reflected in the income tax benefit or income tax expense is </w:t>
      </w:r>
      <w:r>
        <w:rPr>
          <w:rFonts w:ascii="Arial" w:cs="Arial" w:eastAsia="Arial" w:hAnsi="Arial"/>
          <w:sz w:val="16"/>
          <w:szCs w:val="16"/>
          <w:color w:val="212121"/>
        </w:rPr>
        <w:t>primarily due to the effect of the tax rates and permanent differences in</w:t>
      </w:r>
      <w:r>
        <w:rPr>
          <w:rFonts w:ascii="Arial" w:cs="Arial" w:eastAsia="Arial" w:hAnsi="Arial"/>
          <w:sz w:val="16"/>
          <w:szCs w:val="16"/>
          <w:color w:val="auto"/>
        </w:rPr>
        <w:t xml:space="preserve"> </w:t>
      </w:r>
      <w:r>
        <w:rPr>
          <w:rFonts w:ascii="Arial" w:cs="Arial" w:eastAsia="Arial" w:hAnsi="Arial"/>
          <w:sz w:val="16"/>
          <w:szCs w:val="16"/>
          <w:color w:val="212121"/>
        </w:rPr>
        <w:t>the other jurisdictions in which the Company operates.</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effective tax rate for the nine months ended September 30, 2023 and 2022 was 5.7% and 9.1%, respectively. The decrease for the nine months ended September 30, 2023 compared to the prior year was primarily the result of a $25 million reclassification of withholding tax expense accrued in the United States from income tax expense given that withholding tax expense is not creditable against income taxes.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Earnings Per Share</w:t>
      </w:r>
    </w:p>
    <w:p>
      <w:pPr>
        <w:spacing w:after="0" w:line="27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Basic earnings per share ("EPS") is based upon the weighted average number of common shares outstanding during the period. Diluted earnings per share is based upon the weighted average number of common shares outstanding during the period assuming the issuance of common shares for all potentially dilutive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earnings per share: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gridSpan w:val="8"/>
          </w:tcPr>
          <w:p>
            <w:pPr>
              <w:jc w:val="right"/>
              <w:ind w:right="280"/>
              <w:spacing w:after="0"/>
              <w:rPr>
                <w:sz w:val="20"/>
                <w:szCs w:val="20"/>
                <w:color w:val="auto"/>
              </w:rPr>
            </w:pPr>
            <w:r>
              <w:rPr>
                <w:rFonts w:ascii="Arial" w:cs="Arial" w:eastAsia="Arial" w:hAnsi="Arial"/>
                <w:sz w:val="16"/>
                <w:szCs w:val="16"/>
                <w:b w:val="1"/>
                <w:bCs w:val="1"/>
                <w:color w:val="auto"/>
              </w:rPr>
              <w:t>Three Months Ended September 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jc w:val="right"/>
              <w:ind w:right="65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
        </w:trPr>
        <w:tc>
          <w:tcPr>
            <w:tcW w:w="4000" w:type="dxa"/>
            <w:vAlign w:val="bottom"/>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240" w:type="dxa"/>
            <w:vAlign w:val="bottom"/>
            <w:gridSpan w:val="5"/>
          </w:tcPr>
          <w:p>
            <w:pPr>
              <w:ind w:left="20"/>
              <w:spacing w:after="0"/>
              <w:rPr>
                <w:sz w:val="20"/>
                <w:szCs w:val="20"/>
                <w:color w:val="auto"/>
              </w:rPr>
            </w:pPr>
            <w:r>
              <w:rPr>
                <w:rFonts w:ascii="Arial" w:cs="Arial" w:eastAsia="Arial" w:hAnsi="Arial"/>
                <w:sz w:val="16"/>
                <w:szCs w:val="16"/>
                <w:b w:val="1"/>
                <w:bCs w:val="1"/>
                <w:color w:val="auto"/>
              </w:rPr>
              <w:t>(in millions except per share amounts)</w:t>
            </w:r>
          </w:p>
        </w:tc>
        <w:tc>
          <w:tcPr>
            <w:tcW w:w="180" w:type="dxa"/>
            <w:vAlign w:val="bottom"/>
          </w:tcPr>
          <w:p>
            <w:pPr>
              <w:spacing w:after="0"/>
              <w:rPr>
                <w:sz w:val="19"/>
                <w:szCs w:val="19"/>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00" w:type="dxa"/>
            <w:vAlign w:val="bottom"/>
            <w:tcBorders>
              <w:bottom w:val="single" w:sz="8" w:color="CCEEFF"/>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2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Net income attributable to equity shareholders of the</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Company</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337</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ind w:left="16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543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537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553</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gridSpan w:val="3"/>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424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Total basic and diluted EPS attributable to equity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540" w:type="dxa"/>
            <w:vAlign w:val="bottom"/>
          </w:tcPr>
          <w:p>
            <w:pPr>
              <w:ind w:left="12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0.62</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1.45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0.61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1.42</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1"/>
        </w:trPr>
        <w:tc>
          <w:tcPr>
            <w:tcW w:w="4000" w:type="dxa"/>
            <w:vAlign w:val="bottom"/>
            <w:gridSpan w:val="3"/>
          </w:tcPr>
          <w:p>
            <w:pPr>
              <w:spacing w:after="0"/>
              <w:rPr>
                <w:sz w:val="20"/>
                <w:szCs w:val="20"/>
                <w:color w:val="auto"/>
              </w:rPr>
            </w:pPr>
            <w:r>
              <w:rPr>
                <w:rFonts w:ascii="Arial" w:cs="Arial" w:eastAsia="Arial" w:hAnsi="Arial"/>
                <w:sz w:val="16"/>
                <w:szCs w:val="16"/>
                <w:b w:val="1"/>
                <w:bCs w:val="1"/>
                <w:color w:val="auto"/>
              </w:rPr>
              <w:t>Note 6. Property, Plant and Equipment</w:t>
            </w:r>
          </w:p>
        </w:tc>
        <w:tc>
          <w:tcPr>
            <w:tcW w:w="240" w:type="dxa"/>
            <w:vAlign w:val="bottom"/>
            <w:tcBorders>
              <w:top w:val="single" w:sz="8" w:color="auto"/>
            </w:tcBorders>
            <w:gridSpan w:val="2"/>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Land and</w:t>
            </w:r>
          </w:p>
        </w:tc>
        <w:tc>
          <w:tcPr>
            <w:tcW w:w="180" w:type="dxa"/>
            <w:vAlign w:val="bottom"/>
          </w:tcPr>
          <w:p>
            <w:pPr>
              <w:spacing w:after="0"/>
              <w:rPr>
                <w:sz w:val="24"/>
                <w:szCs w:val="2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Building and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Land</w:t>
            </w:r>
          </w:p>
        </w:tc>
        <w:tc>
          <w:tcPr>
            <w:tcW w:w="18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Leasehold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Construction</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9"/>
                <w:szCs w:val="19"/>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Improvements</w:t>
            </w:r>
          </w:p>
        </w:tc>
        <w:tc>
          <w:tcPr>
            <w:tcW w:w="18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Improvements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Equipment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Computer</w:t>
            </w:r>
          </w:p>
        </w:tc>
        <w:tc>
          <w:tcPr>
            <w:tcW w:w="16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in Progress</w:t>
            </w:r>
          </w:p>
        </w:tc>
        <w:tc>
          <w:tcPr>
            <w:tcW w:w="140" w:type="dxa"/>
            <w:vAlign w:val="bottom"/>
          </w:tcPr>
          <w:p>
            <w:pPr>
              <w:spacing w:after="0"/>
              <w:rPr>
                <w:sz w:val="19"/>
                <w:szCs w:val="19"/>
                <w:color w:val="auto"/>
              </w:rPr>
            </w:pPr>
          </w:p>
        </w:tc>
        <w:tc>
          <w:tcPr>
            <w:tcW w:w="82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2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122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7,867</w:t>
            </w:r>
          </w:p>
        </w:tc>
        <w:tc>
          <w:tcPr>
            <w:tcW w:w="3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22,569</w:t>
            </w:r>
          </w:p>
        </w:tc>
        <w:tc>
          <w:tcPr>
            <w:tcW w:w="10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439</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3,384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34,381</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219"/>
        </w:trPr>
        <w:tc>
          <w:tcPr>
            <w:tcW w:w="2540" w:type="dxa"/>
            <w:vAlign w:val="bottom"/>
          </w:tcPr>
          <w:p>
            <w:pPr>
              <w:ind w:left="20"/>
              <w:spacing w:after="0"/>
              <w:rPr>
                <w:sz w:val="20"/>
                <w:szCs w:val="20"/>
                <w:color w:val="auto"/>
              </w:rPr>
            </w:pPr>
            <w:r>
              <w:rPr>
                <w:rFonts w:ascii="Arial" w:cs="Arial" w:eastAsia="Arial" w:hAnsi="Arial"/>
                <w:sz w:val="16"/>
                <w:szCs w:val="16"/>
                <w:color w:val="auto"/>
              </w:rPr>
              <w:t>Transfers from construction in</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progress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594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240" w:type="dxa"/>
            <w:vAlign w:val="bottom"/>
          </w:tcPr>
          <w:p>
            <w:pPr>
              <w:spacing w:after="0"/>
              <w:rPr>
                <w:sz w:val="19"/>
                <w:szCs w:val="19"/>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2023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8,500</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23,301</w:t>
            </w:r>
          </w:p>
        </w:tc>
        <w:tc>
          <w:tcPr>
            <w:tcW w:w="10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35,080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Net book value as of</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September 30, 2023</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3,737</w:t>
            </w:r>
          </w:p>
        </w:tc>
        <w:tc>
          <w:tcPr>
            <w:tcW w:w="3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4,033</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2,688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10,594</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Accumulated Depreciation and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Impairment</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4,544</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23,785</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Arial" w:cs="Arial" w:eastAsia="Arial" w:hAnsi="Arial"/>
                <w:sz w:val="16"/>
                <w:szCs w:val="16"/>
                <w:color w:val="auto"/>
              </w:rPr>
              <w:t>Additions</w:t>
            </w:r>
          </w:p>
        </w:tc>
        <w:tc>
          <w:tcPr>
            <w:tcW w:w="2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238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240" w:type="dxa"/>
            <w:vAlign w:val="bottom"/>
          </w:tcPr>
          <w:p>
            <w:pPr>
              <w:spacing w:after="0"/>
              <w:rPr>
                <w:sz w:val="19"/>
                <w:szCs w:val="19"/>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2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2023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4,763</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19,268</w:t>
            </w:r>
          </w:p>
        </w:tc>
        <w:tc>
          <w:tcPr>
            <w:tcW w:w="10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24,486</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For the three months ended September 30, 2023 and 2022, the depreciation expense of property, plant and equipment was $333 million and $358 million, respectively. For the nine months ended September 30, 2023 and 2022, the depreciation expense of property, plant and equipment was $952 million and $1 billion,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Restructuring</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the fourth quarter 2022, the Company’s management approved and commenced a restructuring plan aimed to realign the Company’s business and strategic priorities. This worldwide restructuring plan included a reduction in the number of full-time employees, as well as a reduction in leased workspaces and engagement of consultants for strategic support.</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incurred $17 million and $41 million of restructuring costs during the three and nine months ended September 30, 2023, respectively. These costs are included in restructuring expenses in the Company’s consolidated statements of operations.</w:t>
      </w:r>
    </w:p>
    <w:p>
      <w:pPr>
        <w:spacing w:after="0" w:line="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changes to the restructuring provisions recorded on the consolidated statements of financial position as of September 30, 2023, are summarized as follows: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9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7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as of December 31, 2022</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24"/>
        </w:trPr>
        <w:tc>
          <w:tcPr>
            <w:tcW w:w="7900" w:type="dxa"/>
            <w:vAlign w:val="bottom"/>
          </w:tcPr>
          <w:p>
            <w:pPr>
              <w:ind w:left="20"/>
              <w:spacing w:after="0"/>
              <w:rPr>
                <w:sz w:val="20"/>
                <w:szCs w:val="20"/>
                <w:color w:val="auto"/>
              </w:rPr>
            </w:pPr>
            <w:r>
              <w:rPr>
                <w:rFonts w:ascii="Arial" w:cs="Arial" w:eastAsia="Arial" w:hAnsi="Arial"/>
                <w:sz w:val="16"/>
                <w:szCs w:val="16"/>
                <w:color w:val="auto"/>
              </w:rPr>
              <w:t>Provision</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paid</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50"/>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Ending balance as of September 30, 2023</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6"/>
                <w:szCs w:val="16"/>
                <w:b w:val="1"/>
                <w:bCs w:val="1"/>
                <w:color w:val="auto"/>
              </w:rPr>
              <w:t>Note 8. Receivables, Prepayments and Other Assets</w:t>
            </w: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3"/>
        </w:trPr>
        <w:tc>
          <w:tcPr>
            <w:tcW w:w="7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7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4"/>
                <w:szCs w:val="24"/>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7"/>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9"/>
                <w:szCs w:val="19"/>
                <w:color w:val="auto"/>
              </w:rPr>
            </w:pPr>
          </w:p>
        </w:tc>
        <w:tc>
          <w:tcPr>
            <w:tcW w:w="144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
        </w:trPr>
        <w:tc>
          <w:tcPr>
            <w:tcW w:w="7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color w:val="auto"/>
              </w:rPr>
              <w:t>Trade receivables, other than related parties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57"/>
        </w:trPr>
        <w:tc>
          <w:tcPr>
            <w:tcW w:w="7900" w:type="dxa"/>
            <w:vAlign w:val="bottom"/>
          </w:tcPr>
          <w:p>
            <w:pPr>
              <w:ind w:left="20"/>
              <w:spacing w:after="0"/>
              <w:rPr>
                <w:sz w:val="20"/>
                <w:szCs w:val="20"/>
                <w:color w:val="auto"/>
              </w:rPr>
            </w:pPr>
            <w:r>
              <w:rPr>
                <w:rFonts w:ascii="Arial" w:cs="Arial" w:eastAsia="Arial" w:hAnsi="Arial"/>
                <w:sz w:val="16"/>
                <w:szCs w:val="16"/>
                <w:color w:val="auto"/>
              </w:rPr>
              <w:t xml:space="preserve">Unbilled accounts receivable </w:t>
            </w:r>
            <w:r>
              <w:rPr>
                <w:rFonts w:ascii="Arial" w:cs="Arial" w:eastAsia="Arial" w:hAnsi="Arial"/>
                <w:sz w:val="21"/>
                <w:szCs w:val="21"/>
                <w:color w:val="auto"/>
                <w:vertAlign w:val="superscript"/>
              </w:rPr>
              <w:t>(1)</w:t>
            </w:r>
          </w:p>
        </w:tc>
        <w:tc>
          <w:tcPr>
            <w:tcW w:w="18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from government grants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color w:val="auto"/>
              </w:rPr>
              <w:t>Receivables from related parties</w:t>
            </w:r>
          </w:p>
        </w:tc>
        <w:tc>
          <w:tcPr>
            <w:tcW w:w="1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1,404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1,487</w:t>
            </w:r>
          </w:p>
        </w:tc>
        <w:tc>
          <w:tcPr>
            <w:tcW w:w="0" w:type="dxa"/>
            <w:vAlign w:val="bottom"/>
          </w:tcPr>
          <w:p>
            <w:pPr>
              <w:spacing w:after="0"/>
              <w:rPr>
                <w:sz w:val="1"/>
                <w:szCs w:val="1"/>
                <w:color w:val="auto"/>
              </w:rPr>
            </w:pPr>
          </w:p>
        </w:tc>
      </w:tr>
      <w:tr>
        <w:trPr>
          <w:trHeight w:val="21"/>
        </w:trPr>
        <w:tc>
          <w:tcPr>
            <w:tcW w:w="7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Non-current: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color w:val="auto"/>
              </w:rPr>
              <w:t>Advances to suppliers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243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281</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firstLine="8"/>
        <w:spacing w:after="0" w:line="293" w:lineRule="auto"/>
        <w:tabs>
          <w:tab w:leader="none" w:pos="189" w:val="left"/>
        </w:tabs>
        <w:numPr>
          <w:ilvl w:val="0"/>
          <w:numId w:val="1"/>
        </w:numPr>
        <w:rPr>
          <w:rFonts w:ascii="Arial" w:cs="Arial" w:eastAsia="Arial" w:hAnsi="Arial"/>
          <w:sz w:val="9"/>
          <w:szCs w:val="9"/>
          <w:color w:val="auto"/>
        </w:rPr>
      </w:pPr>
      <w:r>
        <w:rPr>
          <w:rFonts w:ascii="Arial" w:cs="Arial" w:eastAsia="Arial" w:hAnsi="Arial"/>
          <w:sz w:val="14"/>
          <w:szCs w:val="14"/>
          <w:color w:val="auto"/>
        </w:rPr>
        <w:t>Unbilled accounts receivable represents amounts recognized on revenue contracts less associated advances and progress billings. These amounts will be billed in accordance with the agreed-upon contractual terms or rendering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in the Company’s unbilled accounts receivable as of September 30, 2023 and for the twelve months ended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respectively:</w:t>
      </w:r>
    </w:p>
    <w:p>
      <w:pPr>
        <w:spacing w:after="0" w:line="296" w:lineRule="exact"/>
        <w:rPr>
          <w:sz w:val="20"/>
          <w:szCs w:val="20"/>
          <w:color w:val="auto"/>
        </w:rPr>
      </w:pPr>
    </w:p>
    <w:tbl>
      <w:tblPr>
        <w:tblLayout w:type="fixed"/>
        <w:tblInd w:w="380" w:type="dxa"/>
        <w:tblCellMar>
          <w:top w:w="0" w:type="dxa"/>
          <w:left w:w="0" w:type="dxa"/>
          <w:bottom w:w="0" w:type="dxa"/>
          <w:right w:w="0" w:type="dxa"/>
        </w:tblCellMar>
      </w:tblPr>
      <w:tr>
        <w:trPr>
          <w:trHeight w:val="203"/>
        </w:trPr>
        <w:tc>
          <w:tcPr>
            <w:tcW w:w="7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27"/>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9"/>
                <w:szCs w:val="19"/>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1"/>
        </w:trPr>
        <w:tc>
          <w:tcPr>
            <w:tcW w:w="7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0"/>
        </w:trPr>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center"/>
              <w:ind w:left="99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24"/>
        </w:trPr>
        <w:tc>
          <w:tcPr>
            <w:tcW w:w="7240" w:type="dxa"/>
            <w:vAlign w:val="bottom"/>
          </w:tcPr>
          <w:p>
            <w:pPr>
              <w:ind w:left="60"/>
              <w:spacing w:after="0"/>
              <w:rPr>
                <w:sz w:val="20"/>
                <w:szCs w:val="20"/>
                <w:color w:val="auto"/>
              </w:rPr>
            </w:pPr>
            <w:r>
              <w:rPr>
                <w:rFonts w:ascii="Arial" w:cs="Arial" w:eastAsia="Arial" w:hAnsi="Arial"/>
                <w:sz w:val="16"/>
                <w:szCs w:val="16"/>
                <w:color w:val="auto"/>
              </w:rPr>
              <w:t>Revenue recognized during the period</w:t>
            </w:r>
          </w:p>
        </w:tc>
        <w:tc>
          <w:tcPr>
            <w:tcW w:w="160" w:type="dxa"/>
            <w:vAlign w:val="bottom"/>
          </w:tcPr>
          <w:p>
            <w:pPr>
              <w:spacing w:after="0"/>
              <w:rPr>
                <w:sz w:val="19"/>
                <w:szCs w:val="19"/>
                <w:color w:val="auto"/>
              </w:rPr>
            </w:pPr>
          </w:p>
        </w:tc>
        <w:tc>
          <w:tcPr>
            <w:tcW w:w="1420" w:type="dxa"/>
            <w:vAlign w:val="bottom"/>
          </w:tcPr>
          <w:p>
            <w:pPr>
              <w:jc w:val="center"/>
              <w:ind w:left="99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Amounts invoiced</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center"/>
              <w:ind w:left="979"/>
              <w:spacing w:after="0"/>
              <w:rPr>
                <w:sz w:val="20"/>
                <w:szCs w:val="20"/>
                <w:color w:val="auto"/>
              </w:rPr>
            </w:pPr>
            <w:r>
              <w:rPr>
                <w:rFonts w:ascii="Arial" w:cs="Arial" w:eastAsia="Arial" w:hAnsi="Arial"/>
                <w:sz w:val="16"/>
                <w:szCs w:val="16"/>
                <w:color w:val="auto"/>
                <w:w w:val="98"/>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50"/>
        </w:trPr>
        <w:tc>
          <w:tcPr>
            <w:tcW w:w="7240" w:type="dxa"/>
            <w:vAlign w:val="bottom"/>
          </w:tcPr>
          <w:p>
            <w:pPr>
              <w:ind w:left="60"/>
              <w:spacing w:after="0"/>
              <w:rPr>
                <w:sz w:val="20"/>
                <w:szCs w:val="20"/>
                <w:color w:val="auto"/>
              </w:rPr>
            </w:pPr>
            <w:r>
              <w:rPr>
                <w:rFonts w:ascii="Arial" w:cs="Arial" w:eastAsia="Arial" w:hAnsi="Arial"/>
                <w:sz w:val="16"/>
                <w:szCs w:val="16"/>
                <w:b w:val="1"/>
                <w:bCs w:val="1"/>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top w:val="single" w:sz="8" w:color="auto"/>
              <w:bottom w:val="single" w:sz="8" w:color="auto"/>
            </w:tcBorders>
          </w:tcPr>
          <w:p>
            <w:pPr>
              <w:jc w:val="center"/>
              <w:ind w:left="999"/>
              <w:spacing w:after="0"/>
              <w:rPr>
                <w:sz w:val="20"/>
                <w:szCs w:val="20"/>
                <w:color w:val="auto"/>
              </w:rPr>
            </w:pPr>
            <w:r>
              <w:rPr>
                <w:rFonts w:ascii="Arial" w:cs="Arial" w:eastAsia="Arial" w:hAnsi="Arial"/>
                <w:sz w:val="16"/>
                <w:szCs w:val="16"/>
                <w:b w:val="1"/>
                <w:bCs w:val="1"/>
                <w:color w:val="auto"/>
              </w:rPr>
              <w:t>29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Inventories</w:t>
      </w:r>
    </w:p>
    <w:p>
      <w:pPr>
        <w:spacing w:after="0" w:line="27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Company records inventories at the lower of cost or net realizable value for finished goods, work-in-progress, raw materials, and supplies. The Company makes inventory write-downs on an item-by-item basis, except where it may be appropriate to group similar or related items.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7"/>
                <w:szCs w:val="17"/>
                <w:color w:val="auto"/>
              </w:rPr>
            </w:pP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27"/>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9"/>
                <w:szCs w:val="19"/>
                <w:color w:val="auto"/>
              </w:rPr>
            </w:pPr>
          </w:p>
        </w:tc>
        <w:tc>
          <w:tcPr>
            <w:tcW w:w="1500" w:type="dxa"/>
            <w:vAlign w:val="bottom"/>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
        </w:trPr>
        <w:tc>
          <w:tcPr>
            <w:tcW w:w="7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0"/>
        </w:trPr>
        <w:tc>
          <w:tcPr>
            <w:tcW w:w="7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Work in progress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r>
      <w:tr>
        <w:trPr>
          <w:trHeight w:val="223"/>
        </w:trPr>
        <w:tc>
          <w:tcPr>
            <w:tcW w:w="7780" w:type="dxa"/>
            <w:vAlign w:val="bottom"/>
          </w:tcPr>
          <w:p>
            <w:pPr>
              <w:ind w:left="80"/>
              <w:spacing w:after="0"/>
              <w:rPr>
                <w:sz w:val="20"/>
                <w:szCs w:val="20"/>
                <w:color w:val="auto"/>
              </w:rPr>
            </w:pPr>
            <w:r>
              <w:rPr>
                <w:rFonts w:ascii="Arial" w:cs="Arial" w:eastAsia="Arial" w:hAnsi="Arial"/>
                <w:sz w:val="16"/>
                <w:szCs w:val="16"/>
                <w:color w:val="auto"/>
              </w:rPr>
              <w:t>Raw materials and supplies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20" w:type="dxa"/>
            <w:vAlign w:val="bottom"/>
            <w:gridSpan w:val="2"/>
          </w:tcPr>
          <w:p>
            <w:pPr>
              <w:spacing w:after="0"/>
              <w:rPr>
                <w:sz w:val="20"/>
                <w:szCs w:val="20"/>
                <w:color w:val="auto"/>
              </w:rPr>
            </w:pPr>
            <w:r>
              <w:rPr>
                <w:rFonts w:ascii="Arial" w:cs="Arial" w:eastAsia="Arial" w:hAnsi="Arial"/>
                <w:sz w:val="16"/>
                <w:szCs w:val="16"/>
                <w:b w:val="1"/>
                <w:bCs w:val="1"/>
                <w:color w:val="auto"/>
              </w:rPr>
              <w:t>Note 10. Long Term Debt</w:t>
            </w:r>
          </w:p>
        </w:tc>
        <w:tc>
          <w:tcPr>
            <w:tcW w:w="1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6640" w:type="dxa"/>
            <w:vAlign w:val="bottom"/>
            <w:gridSpan w:val="4"/>
          </w:tcPr>
          <w:p>
            <w:pPr>
              <w:spacing w:after="0"/>
              <w:rPr>
                <w:sz w:val="20"/>
                <w:szCs w:val="20"/>
                <w:color w:val="auto"/>
              </w:rPr>
            </w:pPr>
            <w:r>
              <w:rPr>
                <w:rFonts w:ascii="Arial" w:cs="Arial" w:eastAsia="Arial" w:hAnsi="Arial"/>
                <w:sz w:val="16"/>
                <w:szCs w:val="16"/>
                <w:color w:val="auto"/>
              </w:rPr>
              <w:t>The following table outlines the terms and carrying amounts of the Company’s debt:</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4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Nominal Interest</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Year</w:t>
            </w:r>
          </w:p>
        </w:tc>
        <w:tc>
          <w:tcPr>
            <w:tcW w:w="20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24"/>
                <w:szCs w:val="24"/>
                <w:color w:val="auto"/>
              </w:rPr>
            </w:pP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32"/>
        </w:trPr>
        <w:tc>
          <w:tcPr>
            <w:tcW w:w="3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14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Currency</w:t>
            </w: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Rate</w:t>
            </w:r>
          </w:p>
        </w:tc>
        <w:tc>
          <w:tcPr>
            <w:tcW w:w="11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line="20" w:lineRule="exact"/>
              <w:rPr>
                <w:sz w:val="1"/>
                <w:szCs w:val="1"/>
                <w:color w:val="auto"/>
              </w:rPr>
            </w:pPr>
          </w:p>
        </w:tc>
      </w:tr>
      <w:tr>
        <w:trPr>
          <w:trHeight w:val="216"/>
        </w:trPr>
        <w:tc>
          <w:tcPr>
            <w:tcW w:w="3920" w:type="dxa"/>
            <w:vAlign w:val="bottom"/>
            <w:tcBorders>
              <w:bottom w:val="single" w:sz="8" w:color="auto"/>
            </w:tcBorders>
            <w:gridSpan w:val="2"/>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Maturity</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gridSpan w:val="4"/>
          </w:tcPr>
          <w:p>
            <w:pPr>
              <w:jc w:val="right"/>
              <w:ind w:right="117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Tool Equipment Purchase and Lease Financing</w:t>
            </w:r>
          </w:p>
        </w:tc>
        <w:tc>
          <w:tcPr>
            <w:tcW w:w="1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+ 1.60%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2023</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3"/>
        </w:trPr>
        <w:tc>
          <w:tcPr>
            <w:tcW w:w="420" w:type="dxa"/>
            <w:vAlign w:val="bottom"/>
          </w:tcPr>
          <w:p>
            <w:pPr>
              <w:ind w:left="20"/>
              <w:spacing w:after="0"/>
              <w:rPr>
                <w:sz w:val="20"/>
                <w:szCs w:val="20"/>
                <w:color w:val="auto"/>
              </w:rPr>
            </w:pPr>
            <w:r>
              <w:rPr>
                <w:rFonts w:ascii="Arial" w:cs="Arial" w:eastAsia="Arial" w:hAnsi="Arial"/>
                <w:sz w:val="16"/>
                <w:szCs w:val="16"/>
                <w:color w:val="auto"/>
              </w:rPr>
              <w:t>2019</w:t>
            </w:r>
          </w:p>
        </w:tc>
        <w:tc>
          <w:tcPr>
            <w:tcW w:w="3500" w:type="dxa"/>
            <w:vAlign w:val="bottom"/>
          </w:tcPr>
          <w:p>
            <w:pPr>
              <w:ind w:left="20"/>
              <w:spacing w:after="0"/>
              <w:rPr>
                <w:sz w:val="20"/>
                <w:szCs w:val="20"/>
                <w:color w:val="auto"/>
              </w:rPr>
            </w:pPr>
            <w:r>
              <w:rPr>
                <w:rFonts w:ascii="Arial" w:cs="Arial" w:eastAsia="Arial" w:hAnsi="Arial"/>
                <w:sz w:val="16"/>
                <w:szCs w:val="16"/>
                <w:color w:val="auto"/>
              </w:rPr>
              <w:t>Tool Equipment Purchase and Lease Financing</w:t>
            </w:r>
          </w:p>
        </w:tc>
        <w:tc>
          <w:tcPr>
            <w:tcW w:w="1140" w:type="dxa"/>
            <w:vAlign w:val="bottom"/>
          </w:tcPr>
          <w:p>
            <w:pPr>
              <w:ind w:left="8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SOFR</w:t>
            </w:r>
            <w:r>
              <w:rPr>
                <w:rFonts w:ascii="Arial" w:cs="Arial" w:eastAsia="Arial" w:hAnsi="Arial"/>
                <w:sz w:val="16"/>
                <w:szCs w:val="16"/>
                <w:color w:val="auto"/>
              </w:rPr>
              <w:t>+ 1.75%</w:t>
            </w:r>
          </w:p>
        </w:tc>
        <w:tc>
          <w:tcPr>
            <w:tcW w:w="1160" w:type="dxa"/>
            <w:vAlign w:val="bottom"/>
          </w:tcPr>
          <w:p>
            <w:pPr>
              <w:jc w:val="center"/>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4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USD Dresden Equipment Financing</w:t>
            </w:r>
          </w:p>
        </w:tc>
        <w:tc>
          <w:tcPr>
            <w:tcW w:w="1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+ 1.75%</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2024</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4"/>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2020 USD Equipment Financing</w:t>
            </w:r>
          </w:p>
        </w:tc>
        <w:tc>
          <w:tcPr>
            <w:tcW w:w="1140" w:type="dxa"/>
            <w:vAlign w:val="bottom"/>
          </w:tcPr>
          <w:p>
            <w:pPr>
              <w:ind w:left="8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+ 1.90%</w:t>
            </w:r>
          </w:p>
        </w:tc>
        <w:tc>
          <w:tcPr>
            <w:tcW w:w="1160" w:type="dxa"/>
            <w:vAlign w:val="bottom"/>
          </w:tcPr>
          <w:p>
            <w:pPr>
              <w:jc w:val="center"/>
              <w:spacing w:after="0"/>
              <w:rPr>
                <w:sz w:val="20"/>
                <w:szCs w:val="20"/>
                <w:color w:val="auto"/>
              </w:rPr>
            </w:pPr>
            <w:r>
              <w:rPr>
                <w:rFonts w:ascii="Arial" w:cs="Arial" w:eastAsia="Arial" w:hAnsi="Arial"/>
                <w:sz w:val="16"/>
                <w:szCs w:val="16"/>
                <w:color w:val="auto"/>
              </w:rPr>
              <w:t>2025</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4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EUR Dresden Equipment Financing</w:t>
            </w:r>
          </w:p>
        </w:tc>
        <w:tc>
          <w:tcPr>
            <w:tcW w:w="1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EUR</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EURIBOR </w:t>
            </w:r>
            <w:r>
              <w:rPr>
                <w:rFonts w:ascii="Arial" w:cs="Arial" w:eastAsia="Arial" w:hAnsi="Arial"/>
                <w:sz w:val="16"/>
                <w:szCs w:val="16"/>
                <w:color w:val="auto"/>
              </w:rPr>
              <w:t>+ 1.75%</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2026</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3"/>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USD Term Loan A</w:t>
            </w:r>
          </w:p>
        </w:tc>
        <w:tc>
          <w:tcPr>
            <w:tcW w:w="1140" w:type="dxa"/>
            <w:vAlign w:val="bottom"/>
          </w:tcPr>
          <w:p>
            <w:pPr>
              <w:ind w:left="8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+ 2.90%</w:t>
            </w:r>
          </w:p>
        </w:tc>
        <w:tc>
          <w:tcPr>
            <w:tcW w:w="1160" w:type="dxa"/>
            <w:vAlign w:val="bottom"/>
          </w:tcPr>
          <w:p>
            <w:pPr>
              <w:jc w:val="center"/>
              <w:spacing w:after="0"/>
              <w:rPr>
                <w:sz w:val="20"/>
                <w:szCs w:val="20"/>
                <w:color w:val="auto"/>
              </w:rPr>
            </w:pPr>
            <w:r>
              <w:rPr>
                <w:rFonts w:ascii="Arial" w:cs="Arial" w:eastAsia="Arial" w:hAnsi="Arial"/>
                <w:sz w:val="16"/>
                <w:szCs w:val="16"/>
                <w:color w:val="auto"/>
              </w:rPr>
              <w:t>2025</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EUR Term Loan A</w:t>
            </w:r>
          </w:p>
        </w:tc>
        <w:tc>
          <w:tcPr>
            <w:tcW w:w="1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EUR</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EURIBOR </w:t>
            </w:r>
            <w:r>
              <w:rPr>
                <w:rFonts w:ascii="Arial" w:cs="Arial" w:eastAsia="Arial" w:hAnsi="Arial"/>
                <w:sz w:val="16"/>
                <w:szCs w:val="16"/>
                <w:color w:val="auto"/>
              </w:rPr>
              <w:t>+ 2.60%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2025</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Various</w:t>
            </w:r>
          </w:p>
        </w:tc>
        <w:tc>
          <w:tcPr>
            <w:tcW w:w="1140" w:type="dxa"/>
            <w:vAlign w:val="bottom"/>
          </w:tcPr>
          <w:p>
            <w:pPr>
              <w:ind w:left="80"/>
              <w:spacing w:after="0"/>
              <w:rPr>
                <w:sz w:val="20"/>
                <w:szCs w:val="20"/>
                <w:color w:val="auto"/>
              </w:rPr>
            </w:pPr>
            <w:r>
              <w:rPr>
                <w:rFonts w:ascii="Arial" w:cs="Arial" w:eastAsia="Arial" w:hAnsi="Arial"/>
                <w:sz w:val="16"/>
                <w:szCs w:val="16"/>
                <w:color w:val="auto"/>
              </w:rPr>
              <w:t>EUR, USD</w:t>
            </w: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Various</w:t>
            </w:r>
          </w:p>
        </w:tc>
        <w:tc>
          <w:tcPr>
            <w:tcW w:w="1160" w:type="dxa"/>
            <w:vAlign w:val="bottom"/>
          </w:tcPr>
          <w:p>
            <w:pPr>
              <w:jc w:val="center"/>
              <w:spacing w:after="0"/>
              <w:rPr>
                <w:sz w:val="20"/>
                <w:szCs w:val="20"/>
                <w:color w:val="auto"/>
              </w:rPr>
            </w:pPr>
            <w:r>
              <w:rPr>
                <w:rFonts w:ascii="Arial" w:cs="Arial" w:eastAsia="Arial" w:hAnsi="Arial"/>
                <w:sz w:val="16"/>
                <w:szCs w:val="16"/>
                <w:color w:val="auto"/>
              </w:rPr>
              <w:t>2024-2026</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gridSpan w:val="2"/>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Current total</w:t>
            </w:r>
          </w:p>
        </w:tc>
        <w:tc>
          <w:tcPr>
            <w:tcW w:w="1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Tool Equipment Purchase and Lease Financing</w:t>
            </w:r>
          </w:p>
        </w:tc>
        <w:tc>
          <w:tcPr>
            <w:tcW w:w="1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+ 1.75%</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2024</w:t>
            </w: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3"/>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2019 USD Dresden Equipment Financing</w:t>
            </w:r>
          </w:p>
        </w:tc>
        <w:tc>
          <w:tcPr>
            <w:tcW w:w="1140" w:type="dxa"/>
            <w:vAlign w:val="bottom"/>
          </w:tcPr>
          <w:p>
            <w:pPr>
              <w:ind w:left="8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6"/>
                <w:szCs w:val="16"/>
                <w:color w:val="auto"/>
              </w:rPr>
              <w:t>SOFR + 2.25%</w:t>
            </w:r>
          </w:p>
        </w:tc>
        <w:tc>
          <w:tcPr>
            <w:tcW w:w="1160" w:type="dxa"/>
            <w:vAlign w:val="bottom"/>
          </w:tcPr>
          <w:p>
            <w:pPr>
              <w:jc w:val="center"/>
              <w:spacing w:after="0"/>
              <w:rPr>
                <w:sz w:val="20"/>
                <w:szCs w:val="20"/>
                <w:color w:val="auto"/>
              </w:rPr>
            </w:pPr>
            <w:r>
              <w:rPr>
                <w:rFonts w:ascii="Arial" w:cs="Arial" w:eastAsia="Arial" w:hAnsi="Arial"/>
                <w:sz w:val="16"/>
                <w:szCs w:val="16"/>
                <w:color w:val="auto"/>
              </w:rPr>
              <w:t>2026</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33"/>
        </w:trPr>
        <w:tc>
          <w:tcPr>
            <w:tcW w:w="39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2020 USD Equipment Financing</w:t>
            </w:r>
          </w:p>
        </w:tc>
        <w:tc>
          <w:tcPr>
            <w:tcW w:w="1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+ 1.90%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2025</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23"/>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USD Term Loan A</w:t>
            </w:r>
          </w:p>
        </w:tc>
        <w:tc>
          <w:tcPr>
            <w:tcW w:w="1140" w:type="dxa"/>
            <w:vAlign w:val="bottom"/>
          </w:tcPr>
          <w:p>
            <w:pPr>
              <w:ind w:left="8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+ 2.90%</w:t>
            </w:r>
          </w:p>
        </w:tc>
        <w:tc>
          <w:tcPr>
            <w:tcW w:w="1160" w:type="dxa"/>
            <w:vAlign w:val="bottom"/>
          </w:tcPr>
          <w:p>
            <w:pPr>
              <w:jc w:val="center"/>
              <w:spacing w:after="0"/>
              <w:rPr>
                <w:sz w:val="20"/>
                <w:szCs w:val="20"/>
                <w:color w:val="auto"/>
              </w:rPr>
            </w:pPr>
            <w:r>
              <w:rPr>
                <w:rFonts w:ascii="Arial" w:cs="Arial" w:eastAsia="Arial" w:hAnsi="Arial"/>
                <w:sz w:val="16"/>
                <w:szCs w:val="16"/>
                <w:color w:val="auto"/>
              </w:rPr>
              <w:t>2025</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33"/>
        </w:trPr>
        <w:tc>
          <w:tcPr>
            <w:tcW w:w="39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EUR Term Loan A</w:t>
            </w:r>
          </w:p>
        </w:tc>
        <w:tc>
          <w:tcPr>
            <w:tcW w:w="1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EUR</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EURIBOR </w:t>
            </w:r>
            <w:r>
              <w:rPr>
                <w:rFonts w:ascii="Arial" w:cs="Arial" w:eastAsia="Arial" w:hAnsi="Arial"/>
                <w:sz w:val="16"/>
                <w:szCs w:val="16"/>
                <w:color w:val="auto"/>
              </w:rPr>
              <w:t>+ 2.60%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2025</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23"/>
        </w:trPr>
        <w:tc>
          <w:tcPr>
            <w:tcW w:w="420" w:type="dxa"/>
            <w:vAlign w:val="bottom"/>
          </w:tcPr>
          <w:p>
            <w:pPr>
              <w:ind w:left="20"/>
              <w:spacing w:after="0"/>
              <w:rPr>
                <w:sz w:val="20"/>
                <w:szCs w:val="20"/>
                <w:color w:val="auto"/>
              </w:rPr>
            </w:pPr>
            <w:r>
              <w:rPr>
                <w:rFonts w:ascii="Arial" w:cs="Arial" w:eastAsia="Arial" w:hAnsi="Arial"/>
                <w:sz w:val="16"/>
                <w:szCs w:val="16"/>
                <w:color w:val="auto"/>
              </w:rPr>
              <w:t>2019</w:t>
            </w:r>
          </w:p>
        </w:tc>
        <w:tc>
          <w:tcPr>
            <w:tcW w:w="3500" w:type="dxa"/>
            <w:vAlign w:val="bottom"/>
          </w:tcPr>
          <w:p>
            <w:pPr>
              <w:ind w:left="20"/>
              <w:spacing w:after="0"/>
              <w:rPr>
                <w:sz w:val="20"/>
                <w:szCs w:val="20"/>
                <w:color w:val="auto"/>
              </w:rPr>
            </w:pPr>
            <w:r>
              <w:rPr>
                <w:rFonts w:ascii="Arial" w:cs="Arial" w:eastAsia="Arial" w:hAnsi="Arial"/>
                <w:sz w:val="16"/>
                <w:szCs w:val="16"/>
                <w:color w:val="auto"/>
              </w:rPr>
              <w:t>EUR Dresden Equipment Financing</w:t>
            </w:r>
          </w:p>
        </w:tc>
        <w:tc>
          <w:tcPr>
            <w:tcW w:w="1140" w:type="dxa"/>
            <w:vAlign w:val="bottom"/>
          </w:tcPr>
          <w:p>
            <w:pPr>
              <w:ind w:left="80"/>
              <w:spacing w:after="0"/>
              <w:rPr>
                <w:sz w:val="20"/>
                <w:szCs w:val="20"/>
                <w:color w:val="auto"/>
              </w:rPr>
            </w:pPr>
            <w:r>
              <w:rPr>
                <w:rFonts w:ascii="Arial" w:cs="Arial" w:eastAsia="Arial" w:hAnsi="Arial"/>
                <w:sz w:val="16"/>
                <w:szCs w:val="16"/>
                <w:color w:val="auto"/>
              </w:rPr>
              <w:t>EUR</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EURIBOR </w:t>
            </w:r>
            <w:r>
              <w:rPr>
                <w:rFonts w:ascii="Arial" w:cs="Arial" w:eastAsia="Arial" w:hAnsi="Arial"/>
                <w:sz w:val="16"/>
                <w:szCs w:val="16"/>
                <w:color w:val="auto"/>
              </w:rPr>
              <w:t>+ 1.75%</w:t>
            </w:r>
          </w:p>
        </w:tc>
        <w:tc>
          <w:tcPr>
            <w:tcW w:w="1160" w:type="dxa"/>
            <w:vAlign w:val="bottom"/>
          </w:tcPr>
          <w:p>
            <w:pPr>
              <w:jc w:val="center"/>
              <w:spacing w:after="0"/>
              <w:rPr>
                <w:sz w:val="20"/>
                <w:szCs w:val="20"/>
                <w:color w:val="auto"/>
              </w:rPr>
            </w:pPr>
            <w:r>
              <w:rPr>
                <w:rFonts w:ascii="Arial" w:cs="Arial" w:eastAsia="Arial" w:hAnsi="Arial"/>
                <w:sz w:val="16"/>
                <w:szCs w:val="16"/>
                <w:color w:val="auto"/>
              </w:rPr>
              <w:t>2026</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33"/>
        </w:trPr>
        <w:tc>
          <w:tcPr>
            <w:tcW w:w="39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2021 SGD EDB Loan</w:t>
            </w:r>
          </w:p>
        </w:tc>
        <w:tc>
          <w:tcPr>
            <w:tcW w:w="1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SGD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1.40%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2041</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23"/>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Various</w:t>
            </w:r>
          </w:p>
        </w:tc>
        <w:tc>
          <w:tcPr>
            <w:tcW w:w="1140" w:type="dxa"/>
            <w:vAlign w:val="bottom"/>
          </w:tcPr>
          <w:p>
            <w:pPr>
              <w:ind w:left="80"/>
              <w:spacing w:after="0"/>
              <w:rPr>
                <w:sz w:val="20"/>
                <w:szCs w:val="20"/>
                <w:color w:val="auto"/>
              </w:rPr>
            </w:pPr>
            <w:r>
              <w:rPr>
                <w:rFonts w:ascii="Arial" w:cs="Arial" w:eastAsia="Arial" w:hAnsi="Arial"/>
                <w:sz w:val="16"/>
                <w:szCs w:val="16"/>
                <w:color w:val="auto"/>
              </w:rPr>
              <w:t>EUR, USD</w:t>
            </w: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Various</w:t>
            </w:r>
          </w:p>
        </w:tc>
        <w:tc>
          <w:tcPr>
            <w:tcW w:w="1160" w:type="dxa"/>
            <w:vAlign w:val="bottom"/>
          </w:tcPr>
          <w:p>
            <w:pPr>
              <w:jc w:val="center"/>
              <w:spacing w:after="0"/>
              <w:rPr>
                <w:sz w:val="20"/>
                <w:szCs w:val="20"/>
                <w:color w:val="auto"/>
              </w:rPr>
            </w:pPr>
            <w:r>
              <w:rPr>
                <w:rFonts w:ascii="Arial" w:cs="Arial" w:eastAsia="Arial" w:hAnsi="Arial"/>
                <w:sz w:val="16"/>
                <w:szCs w:val="16"/>
                <w:color w:val="auto"/>
              </w:rPr>
              <w:t>2024-2027</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gridSpan w:val="2"/>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total</w:t>
            </w:r>
          </w:p>
        </w:tc>
        <w:tc>
          <w:tcPr>
            <w:tcW w:w="1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2,288</w:t>
            </w:r>
          </w:p>
        </w:tc>
        <w:tc>
          <w:tcPr>
            <w:tcW w:w="0" w:type="dxa"/>
            <w:vAlign w:val="bottom"/>
          </w:tcPr>
          <w:p>
            <w:pPr>
              <w:spacing w:after="0"/>
              <w:rPr>
                <w:sz w:val="1"/>
                <w:szCs w:val="1"/>
                <w:color w:val="auto"/>
              </w:rPr>
            </w:pPr>
          </w:p>
        </w:tc>
      </w:tr>
      <w:tr>
        <w:trPr>
          <w:trHeight w:val="250"/>
        </w:trPr>
        <w:tc>
          <w:tcPr>
            <w:tcW w:w="420" w:type="dxa"/>
            <w:vAlign w:val="bottom"/>
          </w:tcPr>
          <w:p>
            <w:pPr>
              <w:ind w:left="20"/>
              <w:spacing w:after="0"/>
              <w:rPr>
                <w:sz w:val="20"/>
                <w:szCs w:val="20"/>
                <w:color w:val="auto"/>
              </w:rPr>
            </w:pPr>
            <w:r>
              <w:rPr>
                <w:rFonts w:ascii="Arial" w:cs="Arial" w:eastAsia="Arial" w:hAnsi="Arial"/>
                <w:sz w:val="16"/>
                <w:szCs w:val="16"/>
                <w:b w:val="1"/>
                <w:bCs w:val="1"/>
                <w:color w:val="auto"/>
                <w:w w:val="99"/>
              </w:rPr>
              <w:t>Total</w:t>
            </w:r>
          </w:p>
        </w:tc>
        <w:tc>
          <w:tcPr>
            <w:tcW w:w="3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2,380</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unutilized credit facilities available to the Company to maintain liquidity necessary to fund operations: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27"/>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9"/>
                <w:szCs w:val="19"/>
                <w:color w:val="auto"/>
              </w:rPr>
            </w:pPr>
          </w:p>
        </w:tc>
        <w:tc>
          <w:tcPr>
            <w:tcW w:w="1440" w:type="dxa"/>
            <w:vAlign w:val="bottom"/>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1"/>
        </w:trPr>
        <w:tc>
          <w:tcPr>
            <w:tcW w:w="7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7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r>
      <w:tr>
        <w:trPr>
          <w:trHeight w:val="224"/>
        </w:trPr>
        <w:tc>
          <w:tcPr>
            <w:tcW w:w="7920" w:type="dxa"/>
            <w:vAlign w:val="bottom"/>
          </w:tcPr>
          <w:p>
            <w:pPr>
              <w:ind w:left="20"/>
              <w:spacing w:after="0"/>
              <w:rPr>
                <w:sz w:val="20"/>
                <w:szCs w:val="20"/>
                <w:color w:val="auto"/>
              </w:rPr>
            </w:pPr>
            <w:r>
              <w:rPr>
                <w:rFonts w:ascii="Arial" w:cs="Arial" w:eastAsia="Arial" w:hAnsi="Arial"/>
                <w:sz w:val="16"/>
                <w:szCs w:val="16"/>
                <w:color w:val="auto"/>
              </w:rPr>
              <w:t>SGD EDB Loan</w:t>
            </w:r>
          </w:p>
        </w:tc>
        <w:tc>
          <w:tcPr>
            <w:tcW w:w="1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7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7"/>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Uncommitted Credit Facilities</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50"/>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1,118</w:t>
            </w:r>
          </w:p>
        </w:tc>
      </w:tr>
      <w:tr>
        <w:trPr>
          <w:trHeight w:val="20"/>
        </w:trPr>
        <w:tc>
          <w:tcPr>
            <w:tcW w:w="7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Subject to lender approval before draw-down or being usable.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Related Party Disclosures</w:t>
      </w:r>
    </w:p>
    <w:p>
      <w:pPr>
        <w:spacing w:after="0" w:line="27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total amounts of $8 million and $11 million due from related parties as of September 30, 2023 and December 31, 2022, respectively, have been included in receivables, prepayments and other assets (see Note 8). The $17 million and $10 million due to related parties as of September 30, 2023 and December 31, 2022, respectively, have been included in trade and other payables.</w:t>
      </w:r>
    </w:p>
    <w:p>
      <w:pPr>
        <w:spacing w:after="0" w:line="20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Related party balances disclosed in the interim condensed consolidated statements of financial position related to Silicon Manufacturing Partners Pte Ltd. ("SMP"). SMP is a joint venture with LSI Technology (Singapore) Pte. Ltd. The Company holds a 49.0% interest in SMP and manages all aspects of its manufacturing operations.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related party transactions included in the interim condensed consolidated statements of operations: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420" w:type="dxa"/>
            <w:vAlign w:val="bottom"/>
            <w:gridSpan w:val="3"/>
          </w:tcPr>
          <w:p>
            <w:pPr>
              <w:ind w:left="340"/>
              <w:spacing w:after="0"/>
              <w:rPr>
                <w:sz w:val="20"/>
                <w:szCs w:val="20"/>
                <w:color w:val="auto"/>
              </w:rPr>
            </w:pPr>
            <w:r>
              <w:rPr>
                <w:rFonts w:ascii="Arial" w:cs="Arial" w:eastAsia="Arial" w:hAnsi="Arial"/>
                <w:sz w:val="16"/>
                <w:szCs w:val="16"/>
                <w:b w:val="1"/>
                <w:bCs w:val="1"/>
                <w:color w:val="auto"/>
              </w:rPr>
              <w:t>Three Months Ended September 30,</w:t>
            </w:r>
          </w:p>
        </w:tc>
        <w:tc>
          <w:tcPr>
            <w:tcW w:w="3340" w:type="dxa"/>
            <w:vAlign w:val="bottom"/>
            <w:gridSpan w:val="3"/>
          </w:tcPr>
          <w:p>
            <w:pPr>
              <w:ind w:left="340"/>
              <w:spacing w:after="0"/>
              <w:rPr>
                <w:sz w:val="20"/>
                <w:szCs w:val="20"/>
                <w:color w:val="auto"/>
              </w:rPr>
            </w:pPr>
            <w:r>
              <w:rPr>
                <w:rFonts w:ascii="Arial" w:cs="Arial" w:eastAsia="Arial" w:hAnsi="Arial"/>
                <w:sz w:val="16"/>
                <w:szCs w:val="16"/>
                <w:b w:val="1"/>
                <w:bCs w:val="1"/>
                <w:color w:val="auto"/>
              </w:rPr>
              <w:t>Nine Months Ended September 30,</w:t>
            </w:r>
          </w:p>
        </w:tc>
      </w:tr>
      <w:tr>
        <w:trPr>
          <w:trHeight w:val="21"/>
        </w:trPr>
        <w:tc>
          <w:tcPr>
            <w:tcW w:w="44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9"/>
        </w:trPr>
        <w:tc>
          <w:tcPr>
            <w:tcW w:w="44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rPr>
              <w:t>2022</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2022</w:t>
            </w:r>
          </w:p>
        </w:tc>
      </w:tr>
      <w:tr>
        <w:trPr>
          <w:trHeight w:val="21"/>
        </w:trPr>
        <w:tc>
          <w:tcPr>
            <w:tcW w:w="44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Purchases from: *</w:t>
            </w: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6"/>
                <w:szCs w:val="16"/>
                <w:color w:val="auto"/>
              </w:rPr>
              <w:t>SMP</w:t>
            </w:r>
          </w:p>
        </w:tc>
        <w:tc>
          <w:tcPr>
            <w:tcW w:w="1660" w:type="dxa"/>
            <w:vAlign w:val="bottom"/>
          </w:tcPr>
          <w:p>
            <w:pPr>
              <w:jc w:val="center"/>
              <w:spacing w:after="0"/>
              <w:rPr>
                <w:sz w:val="20"/>
                <w:szCs w:val="20"/>
                <w:color w:val="auto"/>
              </w:rPr>
            </w:pPr>
            <w:r>
              <w:rPr>
                <w:rFonts w:ascii="Arial" w:cs="Arial" w:eastAsia="Arial" w:hAnsi="Arial"/>
                <w:sz w:val="16"/>
                <w:szCs w:val="16"/>
                <w:color w:val="auto"/>
                <w:w w:val="97"/>
              </w:rPr>
              <w:t>$16</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7"/>
              </w:rPr>
              <w:t>$15</w:t>
            </w:r>
          </w:p>
        </w:tc>
        <w:tc>
          <w:tcPr>
            <w:tcW w:w="1680" w:type="dxa"/>
            <w:vAlign w:val="bottom"/>
          </w:tcPr>
          <w:p>
            <w:pPr>
              <w:jc w:val="center"/>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rPr>
              <w:t>$42</w:t>
            </w:r>
          </w:p>
        </w:tc>
      </w:tr>
      <w:tr>
        <w:trPr>
          <w:trHeight w:val="40"/>
        </w:trPr>
        <w:tc>
          <w:tcPr>
            <w:tcW w:w="448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3"/>
        </w:trPr>
        <w:tc>
          <w:tcPr>
            <w:tcW w:w="44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35"/>
        </w:trPr>
        <w:tc>
          <w:tcPr>
            <w:tcW w:w="4480" w:type="dxa"/>
            <w:vAlign w:val="bottom"/>
          </w:tcPr>
          <w:p>
            <w:pPr>
              <w:ind w:left="20"/>
              <w:spacing w:after="0"/>
              <w:rPr>
                <w:sz w:val="20"/>
                <w:szCs w:val="20"/>
                <w:color w:val="auto"/>
              </w:rPr>
            </w:pPr>
            <w:r>
              <w:rPr>
                <w:rFonts w:ascii="Arial" w:cs="Arial" w:eastAsia="Arial" w:hAnsi="Arial"/>
                <w:sz w:val="16"/>
                <w:szCs w:val="16"/>
                <w:b w:val="1"/>
                <w:bCs w:val="1"/>
                <w:color w:val="auto"/>
              </w:rPr>
              <w:t>Other transactions with:</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
        </w:trPr>
        <w:tc>
          <w:tcPr>
            <w:tcW w:w="4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SMP (reimbursement of expenses and contribution of tools)</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$23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$16</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$37</w:t>
            </w:r>
          </w:p>
        </w:tc>
      </w:tr>
      <w:tr>
        <w:trPr>
          <w:trHeight w:val="33"/>
        </w:trPr>
        <w:tc>
          <w:tcPr>
            <w:tcW w:w="44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 Purchases from SMP were primarily comprised of wafer.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60" w:type="dxa"/>
            <w:vAlign w:val="bottom"/>
          </w:tcPr>
          <w:p>
            <w:pPr>
              <w:spacing w:after="0"/>
              <w:rPr>
                <w:sz w:val="20"/>
                <w:szCs w:val="20"/>
                <w:color w:val="auto"/>
              </w:rPr>
            </w:pPr>
            <w:r>
              <w:rPr>
                <w:rFonts w:ascii="Arial" w:cs="Arial" w:eastAsia="Arial" w:hAnsi="Arial"/>
                <w:sz w:val="16"/>
                <w:szCs w:val="16"/>
                <w:b w:val="1"/>
                <w:bCs w:val="1"/>
                <w:color w:val="auto"/>
              </w:rPr>
              <w:t>Note 12. Commitments and Contingencies</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7660" w:type="dxa"/>
            <w:vAlign w:val="bottom"/>
          </w:tcPr>
          <w:p>
            <w:pPr>
              <w:spacing w:after="0"/>
              <w:rPr>
                <w:sz w:val="20"/>
                <w:szCs w:val="20"/>
                <w:color w:val="auto"/>
              </w:rPr>
            </w:pPr>
            <w:r>
              <w:rPr>
                <w:rFonts w:ascii="Arial" w:cs="Arial" w:eastAsia="Arial" w:hAnsi="Arial"/>
                <w:sz w:val="16"/>
                <w:szCs w:val="16"/>
                <w:b w:val="1"/>
                <w:bCs w:val="1"/>
                <w:color w:val="auto"/>
              </w:rPr>
              <w:t xml:space="preserve">Commitments </w:t>
            </w:r>
            <w:r>
              <w:rPr>
                <w:rFonts w:ascii="Arial" w:cs="Arial" w:eastAsia="Arial" w:hAnsi="Arial"/>
                <w:sz w:val="16"/>
                <w:szCs w:val="16"/>
                <w:color w:val="auto"/>
              </w:rPr>
              <w:t>– The Company’s unconditional purchase commitments are as follows:</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7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24"/>
                <w:szCs w:val="24"/>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24"/>
                <w:szCs w:val="24"/>
                <w:color w:val="auto"/>
              </w:rPr>
            </w:pPr>
          </w:p>
        </w:tc>
        <w:tc>
          <w:tcPr>
            <w:tcW w:w="152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19"/>
        </w:trPr>
        <w:tc>
          <w:tcPr>
            <w:tcW w:w="7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08"/>
        </w:trPr>
        <w:tc>
          <w:tcPr>
            <w:tcW w:w="7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7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Contracts for capital expenditures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2,774</w:t>
            </w:r>
          </w:p>
        </w:tc>
        <w:tc>
          <w:tcPr>
            <w:tcW w:w="0" w:type="dxa"/>
            <w:vAlign w:val="bottom"/>
          </w:tcPr>
          <w:p>
            <w:pPr>
              <w:spacing w:after="0"/>
              <w:rPr>
                <w:sz w:val="1"/>
                <w:szCs w:val="1"/>
                <w:color w:val="auto"/>
              </w:rPr>
            </w:pPr>
          </w:p>
        </w:tc>
      </w:tr>
      <w:tr>
        <w:trPr>
          <w:trHeight w:val="223"/>
        </w:trPr>
        <w:tc>
          <w:tcPr>
            <w:tcW w:w="7660" w:type="dxa"/>
            <w:vAlign w:val="bottom"/>
          </w:tcPr>
          <w:p>
            <w:pPr>
              <w:ind w:left="80"/>
              <w:spacing w:after="0"/>
              <w:rPr>
                <w:sz w:val="20"/>
                <w:szCs w:val="20"/>
                <w:color w:val="auto"/>
              </w:rPr>
            </w:pPr>
            <w:r>
              <w:rPr>
                <w:rFonts w:ascii="Arial" w:cs="Arial" w:eastAsia="Arial" w:hAnsi="Arial"/>
                <w:sz w:val="16"/>
                <w:szCs w:val="16"/>
                <w:color w:val="auto"/>
              </w:rPr>
              <w:t>Contracts for operating expenditures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3,587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6,361</w:t>
            </w:r>
          </w:p>
        </w:tc>
        <w:tc>
          <w:tcPr>
            <w:tcW w:w="0" w:type="dxa"/>
            <w:vAlign w:val="bottom"/>
          </w:tcPr>
          <w:p>
            <w:pPr>
              <w:spacing w:after="0"/>
              <w:rPr>
                <w:sz w:val="1"/>
                <w:szCs w:val="1"/>
                <w:color w:val="auto"/>
              </w:rPr>
            </w:pPr>
          </w:p>
        </w:tc>
      </w:tr>
      <w:tr>
        <w:trPr>
          <w:trHeight w:val="229"/>
        </w:trPr>
        <w:tc>
          <w:tcPr>
            <w:tcW w:w="7660" w:type="dxa"/>
            <w:vAlign w:val="bottom"/>
          </w:tcPr>
          <w:p>
            <w:pPr>
              <w:ind w:left="80"/>
              <w:spacing w:after="0"/>
              <w:rPr>
                <w:sz w:val="20"/>
                <w:szCs w:val="20"/>
                <w:color w:val="auto"/>
              </w:rPr>
            </w:pPr>
            <w:r>
              <w:rPr>
                <w:rFonts w:ascii="Arial" w:cs="Arial" w:eastAsia="Arial" w:hAnsi="Arial"/>
                <w:sz w:val="16"/>
                <w:szCs w:val="16"/>
                <w:b w:val="1"/>
                <w:bCs w:val="1"/>
                <w:color w:val="auto"/>
              </w:rPr>
              <w:t>Due within the next 12 months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1,377</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2,732</w:t>
            </w: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addition to the above, the Company obtained letters of credit to primarily guarantee payments for utility suppliers and foreign statutory payroll related charges. The Company has obtained letters of credit of $23 million as of September 30, 2023 and $20 million as of December 31, 2022 and has drawn down bank guarantees of $58 million and $4 million as of September 30, 2023 and December 31, 2022, respectively.</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color w:val="auto"/>
        </w:rPr>
        <w:t>— From time to time, the Company is a party to claims that arise in the normal course of business. These claims include allegations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infringement of intellectual property rights of others as well as other claims of liability. In addition, the Company, on a case by case basis, includes intellectual property indemnification provisions in the terms of sale and technology licenses with third parties. The Company is also subject to various taxes in the different jurisdictions in which it operates. These include property, goods and services, and other non-income taxes. The Company accrues costs associated with these matters when they become probable and reasonably estimable. The Company does not believe it is probable that losses associated with these matters beyond those already recognized will be incurred in amounts that would be material to the interim condensed consolidated statements of financial position or interim condensed consolidated statements of operations and comprehensive income (loss).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April 28, 2021, International Business Machines (“IBM”) sent the Company a letter alleging that the Company did not fulfill the Company’s obligations under the contracts the Company entered into with IBM in 2014 associated with the Company’s acquisition of IBM’s Microelectronics business. IBM asserted that the Company engaged in fraudulent misrepresentations during the underlying negotiations, and claimed the Company owed them at least $2.5 billion damages and restitution. On June 7, 2021, the Company filed a complaint with the New York State Supreme Court (the “Court”) seeking a declaratory judgment that the Company did not breach the relevant contracts. IBM subsequently filed its complaint with the Court on June 8, 2021. On September 14, 2021, the Court granted the Company's motion to dismiss IBM’s claims of fraud, unjust enrichment and breach of the implied covenant of good faith and fair dealing. IBM appealed its fraud claim, and on April 7, 2022, the New York Appellate Division reversed the Court’s decision as to these two claims. Fact and expert discovery were complete as of September 30, 2023 and the case will proceed to trial. The Company believes, based on discussions with legal counsel, that it has meritorious defenses against IBM’s claims and intends to vigorously defend against them.</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Fair Value Measurements</w:t>
      </w:r>
    </w:p>
    <w:p>
      <w:pPr>
        <w:spacing w:after="0" w:line="27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Company uses the following hierarchy for determining and disclosing the fair value of financial instruments by valuation technique:</w:t>
      </w:r>
    </w:p>
    <w:p>
      <w:pPr>
        <w:spacing w:after="0" w:line="108"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7" w:lineRule="exact"/>
        <w:rPr>
          <w:rFonts w:ascii="Arial" w:cs="Arial" w:eastAsia="Arial" w:hAnsi="Arial"/>
          <w:sz w:val="16"/>
          <w:szCs w:val="16"/>
          <w:color w:val="auto"/>
        </w:rPr>
      </w:pPr>
    </w:p>
    <w:p>
      <w:pPr>
        <w:jc w:val="both"/>
        <w:ind w:left="660" w:hanging="328"/>
        <w:spacing w:after="0" w:line="25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inputs other than quoted prices in active markets in Level 1, such as quoted prices for similar assets or liabilities in active markets, quoted prices for similar assets or liabilities that are not active; or other inputs that are observable or can be corroborated by observable market data for substantially the full term of the asset or liability; and</w:t>
      </w:r>
    </w:p>
    <w:p>
      <w:pPr>
        <w:spacing w:after="0" w:line="1" w:lineRule="exact"/>
        <w:rPr>
          <w:rFonts w:ascii="Arial" w:cs="Arial" w:eastAsia="Arial" w:hAnsi="Arial"/>
          <w:sz w:val="16"/>
          <w:szCs w:val="16"/>
          <w:color w:val="auto"/>
        </w:rPr>
      </w:pPr>
    </w:p>
    <w:p>
      <w:pPr>
        <w:ind w:left="660" w:hanging="328"/>
        <w:spacing w:after="0" w:line="27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3: unobservable inputs for which little or no market data exists, therefore requiring management judgment to develop the Company’s own models with estimates and assumptions.</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Cash Equivalents </w:t>
      </w:r>
      <w:r>
        <w:rPr>
          <w:rFonts w:ascii="Arial" w:cs="Arial" w:eastAsia="Arial" w:hAnsi="Arial"/>
          <w:sz w:val="16"/>
          <w:szCs w:val="16"/>
          <w:color w:val="auto"/>
        </w:rPr>
        <w:t>- Cash equivalents include investments in government obligation-based money market funds, other money market instruments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interest-bearing deposits with initial or remaining terms of three months or less. The fair value of cash equivalents approximates its carrying value due to the short-term nature of these instruments.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Marketable securities include U.S. Treasury Securities, U.S. Government Sponsored Enterprises, floating rate securities, money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mutual funds, corporate debt instruments and other notes, bonds or debt securities issued by non-U.S. sovereign or multilateral entities, as these securities all have quoted prices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Quoted Prices</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Identical Assets/</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Significant Other</w:t>
            </w:r>
          </w:p>
        </w:tc>
        <w:tc>
          <w:tcPr>
            <w:tcW w:w="300" w:type="dxa"/>
            <w:vAlign w:val="bottom"/>
          </w:tcPr>
          <w:p>
            <w:pPr>
              <w:spacing w:after="0"/>
              <w:rPr>
                <w:sz w:val="17"/>
                <w:szCs w:val="17"/>
                <w:color w:val="auto"/>
              </w:rPr>
            </w:pPr>
          </w:p>
        </w:tc>
        <w:tc>
          <w:tcPr>
            <w:tcW w:w="1460" w:type="dxa"/>
            <w:vAlign w:val="bottom"/>
          </w:tcPr>
          <w:p>
            <w:pPr>
              <w:jc w:val="center"/>
              <w:ind w:right="219"/>
              <w:spacing w:after="0"/>
              <w:rPr>
                <w:sz w:val="20"/>
                <w:szCs w:val="20"/>
                <w:color w:val="auto"/>
              </w:rPr>
            </w:pPr>
            <w:r>
              <w:rPr>
                <w:rFonts w:ascii="Arial" w:cs="Arial" w:eastAsia="Arial" w:hAnsi="Arial"/>
                <w:sz w:val="16"/>
                <w:szCs w:val="16"/>
                <w:b w:val="1"/>
                <w:bCs w:val="1"/>
                <w:color w:val="auto"/>
              </w:rPr>
              <w:t>Significant</w:t>
            </w:r>
          </w:p>
        </w:tc>
      </w:tr>
      <w:tr>
        <w:trPr>
          <w:trHeight w:val="227"/>
        </w:trPr>
        <w:tc>
          <w:tcPr>
            <w:tcW w:w="4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Pr>
          <w:p>
            <w:pPr>
              <w:spacing w:after="0"/>
              <w:rPr>
                <w:sz w:val="19"/>
                <w:szCs w:val="19"/>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Inputs</w:t>
            </w: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Unobservable Inputs</w:t>
            </w: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22"/>
                <w:szCs w:val="22"/>
                <w:color w:val="auto"/>
              </w:rPr>
            </w:pPr>
          </w:p>
        </w:tc>
        <w:tc>
          <w:tcPr>
            <w:tcW w:w="144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2"/>
                <w:szCs w:val="22"/>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22"/>
                <w:szCs w:val="22"/>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22"/>
                <w:szCs w:val="22"/>
                <w:color w:val="auto"/>
              </w:rPr>
            </w:pPr>
          </w:p>
        </w:tc>
        <w:tc>
          <w:tcPr>
            <w:tcW w:w="1460" w:type="dxa"/>
            <w:vAlign w:val="bottom"/>
          </w:tcPr>
          <w:p>
            <w:pPr>
              <w:jc w:val="center"/>
              <w:ind w:right="199"/>
              <w:spacing w:after="0"/>
              <w:rPr>
                <w:sz w:val="20"/>
                <w:szCs w:val="20"/>
                <w:color w:val="auto"/>
              </w:rPr>
            </w:pPr>
            <w:r>
              <w:rPr>
                <w:rFonts w:ascii="Arial" w:cs="Arial" w:eastAsia="Arial" w:hAnsi="Arial"/>
                <w:sz w:val="16"/>
                <w:szCs w:val="16"/>
                <w:b w:val="1"/>
                <w:bCs w:val="1"/>
                <w:color w:val="auto"/>
              </w:rPr>
              <w:t>(Level 3)</w:t>
            </w:r>
          </w:p>
        </w:tc>
      </w:tr>
      <w:tr>
        <w:trPr>
          <w:trHeight w:val="21"/>
        </w:trPr>
        <w:tc>
          <w:tcPr>
            <w:tcW w:w="40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0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equity instruments</w:t>
            </w:r>
            <w:r>
              <w:rPr>
                <w:rFonts w:ascii="Arial" w:cs="Arial" w:eastAsia="Arial" w:hAnsi="Arial"/>
                <w:sz w:val="21"/>
                <w:szCs w:val="21"/>
                <w:color w:val="auto"/>
                <w:vertAlign w:val="superscript"/>
              </w:rPr>
              <w:t>(2)</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40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0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marketable securities</w:t>
            </w:r>
            <w:r>
              <w:rPr>
                <w:rFonts w:ascii="Arial" w:cs="Arial" w:eastAsia="Arial" w:hAnsi="Arial"/>
                <w:sz w:val="21"/>
                <w:szCs w:val="21"/>
                <w:color w:val="auto"/>
                <w:vertAlign w:val="superscript"/>
              </w:rPr>
              <w:t>(4)</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04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September 30, 2023</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1,368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1,368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equity instruments</w:t>
            </w:r>
            <w:r>
              <w:rPr>
                <w:rFonts w:ascii="Arial" w:cs="Arial" w:eastAsia="Arial" w:hAnsi="Arial"/>
                <w:sz w:val="21"/>
                <w:szCs w:val="21"/>
                <w:color w:val="auto"/>
                <w:vertAlign w:val="superscript"/>
              </w:rPr>
              <w:t>(2)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marketable securities</w:t>
            </w:r>
            <w:r>
              <w:rPr>
                <w:rFonts w:ascii="Arial" w:cs="Arial" w:eastAsia="Arial" w:hAnsi="Arial"/>
                <w:sz w:val="21"/>
                <w:szCs w:val="21"/>
                <w:color w:val="auto"/>
                <w:vertAlign w:val="superscript"/>
              </w:rPr>
              <w:t>(4)</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1,480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1,480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79"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Included in cash and cash equivalents on the Company’s interim condensed consolidated statements of financial position.</w:t>
      </w:r>
    </w:p>
    <w:p>
      <w:pPr>
        <w:spacing w:after="0" w:line="117"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Included in current and non-current receivables, prepayments and other assets on the Company’s interim condensed consolidated statements of financial position.</w:t>
      </w:r>
    </w:p>
    <w:p>
      <w:pPr>
        <w:spacing w:after="0" w:line="101" w:lineRule="exact"/>
        <w:rPr>
          <w:rFonts w:ascii="Arial" w:cs="Arial" w:eastAsia="Arial" w:hAnsi="Arial"/>
          <w:sz w:val="18"/>
          <w:szCs w:val="18"/>
          <w:color w:val="auto"/>
          <w:vertAlign w:val="superscript"/>
        </w:rPr>
      </w:pPr>
    </w:p>
    <w:p>
      <w:pPr>
        <w:ind w:firstLine="8"/>
        <w:spacing w:after="0" w:line="238" w:lineRule="auto"/>
        <w:tabs>
          <w:tab w:leader="none" w:pos="155"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Consists of foreign currency forward contracts, interest rate swaps, cross currency swaps and commodity hedge. Included in other current and non-current financial assets on the Company’s interim condensed consolidated statements of financial position</w:t>
      </w:r>
      <w:r>
        <w:rPr>
          <w:rFonts w:ascii="Arial" w:cs="Arial" w:eastAsia="Arial" w:hAnsi="Arial"/>
          <w:sz w:val="15"/>
          <w:szCs w:val="15"/>
          <w:color w:val="auto"/>
        </w:rPr>
        <w:t>.</w:t>
      </w:r>
    </w:p>
    <w:p>
      <w:pPr>
        <w:spacing w:after="0" w:line="71"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Included in current and non-current marketable securities on the Company's interim condensed consolidated statements of financial position.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2023 and 2022, there were no transfers between Level 1, Level 2 or Level 3 fair value measurements.</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Measured and Recorded at Fair Value on a Non-Recurring Basis</w:t>
      </w:r>
    </w:p>
    <w:p>
      <w:pPr>
        <w:spacing w:after="0" w:line="2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Certain assets and liabilities, such as equity method investments, intangible assets and property, plant and equipment, and other non-financial assets are recorded at fair value only if an impairment or observable price adjustment is recognized in the current period.</w:t>
      </w: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Not Recorded at Fair Value on a Recurring Basis</w:t>
      </w:r>
    </w:p>
    <w:p>
      <w:pPr>
        <w:spacing w:after="0" w:line="2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Financial instruments not recorded at fair value on a recurring basis include grants receivable, loans receivable, lease obligations and the Company’s current and noncurrent portion of long-term debt.</w:t>
      </w:r>
    </w:p>
    <w:p>
      <w:pPr>
        <w:spacing w:after="0" w:line="91"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color w:val="auto"/>
        </w:rPr>
        <w:t>The carrying amounts and fair values of the Company’s financial instruments not recorded at fair value on a recurring basis are presented in the following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9"/>
                <w:szCs w:val="19"/>
                <w:color w:val="auto"/>
              </w:rPr>
            </w:pPr>
          </w:p>
        </w:tc>
        <w:tc>
          <w:tcPr>
            <w:tcW w:w="3180" w:type="dxa"/>
            <w:vAlign w:val="bottom"/>
            <w:gridSpan w:val="5"/>
          </w:tcPr>
          <w:p>
            <w:pPr>
              <w:ind w:left="700"/>
              <w:spacing w:after="0"/>
              <w:rPr>
                <w:sz w:val="20"/>
                <w:szCs w:val="20"/>
                <w:color w:val="auto"/>
              </w:rPr>
            </w:pPr>
            <w:r>
              <w:rPr>
                <w:rFonts w:ascii="Arial" w:cs="Arial" w:eastAsia="Arial" w:hAnsi="Arial"/>
                <w:sz w:val="16"/>
                <w:szCs w:val="16"/>
                <w:b w:val="1"/>
                <w:bCs w:val="1"/>
                <w:color w:val="auto"/>
              </w:rPr>
              <w:t>September 30, 2023</w:t>
            </w:r>
          </w:p>
        </w:tc>
        <w:tc>
          <w:tcPr>
            <w:tcW w:w="180" w:type="dxa"/>
            <w:vAlign w:val="bottom"/>
          </w:tcPr>
          <w:p>
            <w:pPr>
              <w:spacing w:after="0"/>
              <w:rPr>
                <w:sz w:val="19"/>
                <w:szCs w:val="19"/>
                <w:color w:val="auto"/>
              </w:rPr>
            </w:pPr>
          </w:p>
        </w:tc>
        <w:tc>
          <w:tcPr>
            <w:tcW w:w="314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December 31, 2022</w:t>
            </w:r>
          </w:p>
        </w:tc>
      </w:tr>
      <w:tr>
        <w:trPr>
          <w:trHeight w:val="21"/>
        </w:trPr>
        <w:tc>
          <w:tcPr>
            <w:tcW w:w="3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Carrying Amount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Carrying Amount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Fair Value</w:t>
            </w:r>
          </w:p>
        </w:tc>
      </w:tr>
      <w:tr>
        <w:trPr>
          <w:trHeight w:val="217"/>
        </w:trPr>
        <w:tc>
          <w:tcPr>
            <w:tcW w:w="34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Other long-term debt</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2,235</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2,414</w:t>
            </w:r>
          </w:p>
        </w:tc>
      </w:tr>
      <w:tr>
        <w:trPr>
          <w:trHeight w:val="33"/>
        </w:trPr>
        <w:tc>
          <w:tcPr>
            <w:tcW w:w="3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2,414</w:t>
            </w:r>
          </w:p>
        </w:tc>
      </w:tr>
      <w:tr>
        <w:trPr>
          <w:trHeight w:val="20"/>
        </w:trPr>
        <w:tc>
          <w:tcPr>
            <w:tcW w:w="3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32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Estimated fair values of long-term debt are based on quoted prices for similar liabilities for which significant inputs are observable and represents a Level 2 valuation. The fair values are estimated based on the type of debt and their maturities. The Company estimates the fair value using market interest rates of debts with similar maturities.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Share-Based Compensation</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measure and recognize compensation expense related to share-based transactions, including employee, consultant, and non-employee director share option awards, in our consolidated financial statements based on fair value. The fair value of each award is estimated on the date of grant using the Black-Scholes option pricing model for options, and the Monte Carlo simulation model for the performance share units and a share price at the grant date for the restricted share units. The Black-Scholes model and Monte Carlo model both require management to make certain assumptions of future expectations based on historical and current data. The assumptions include the expected term of the awards, expected volatility, dividend yield, and risk-free interest rate. The expected term represents the amount of time that awards granted are expected to be outstanding, based on forecasted exercise behavior. The option pricing model requires the input of highly subjective assumptions, including the estimated fair value of the Company’s stock, expected term of the awards, expected volatility of the price of the Company’s shares, risk free interest rate and the expected dividend yield of ordinary shares. The assumptions used to determine the fair value of the option awards represent management’s best estimates. These estimates involve inherent uncertainties and the application of management’s judgment. The Company estimates the expected forfeiture for options utilizing historical data, and only recognizes expense when a defined liquidity event (change in control or IPO) is deemed probable on the number of awards that are expected to vest. After applying a forfeiture estimate during each reporting period for when they are probable of vesting, the Company recognizes expense on a graded attribution basis for each tranche of the award over the period from the grant date to the later of the one-year anniversary of estimated time following a liquidity event or the legal vesting dates.</w:t>
      </w:r>
    </w:p>
    <w:p>
      <w:pPr>
        <w:spacing w:after="0" w:line="32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offers an Employee Stock Purchase Plan which provides eligible employees with an opportunity to purchase our ordinary shares through payroll deductions of up to 10% of their eligible compensation. A participant may purchase a maximum of 2,500 ordinary shares during the purchase period. Amounts deducted and accumulated by the participant are used to purchase ordinary shares at the end of each six-month period, with the Company matching 20% of each employee's contributions on an after-tax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240"/>
          </w:cols>
          <w:pgMar w:left="320" w:top="9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document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geopolitical conditions such as the ongoing political and trade tensions with China and wars in Ukraine and Israel; the market for our products may develop or recover more slowly than expected or than it has in the past; we may fail to achieve the full benefits of our current restructuring plan;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damage our reputation; we could experience interruptions or performance problems associated with our technology, including a service outage; and global economic conditions could deteriorate, including due to increasing interest rates, rising inflation, and any potential recession.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GLOBALFOUNDRIES’ Annual Report on Form 20-F for the year ended December 31, 2022, current reports on Form 6-K and other reports filed with the Securities and Exchange Commission (the “SEC”). Copies of our SEC filings are available on our Investor Relations website, investors.gf.com, or from the SEC website,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AND FINANCIAL REVIEWS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3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GLOBALFOUNDRIES Inc. (“We,” “GF,” or the “Company”) is one of the world’s leading semiconductor foundries. We manufacture complex, feature-rich integrated circuits (“ICs”) that enable billions of electronic devices that are pervasive throughout nearly every sector of the global economy. With our specialized foundry manufacturing processes, a library consisting of thousands of IP titles, and differentiated transistor and device technology, we serve a broad range of customers, including the global leaders in IC design, and provide optimized solutions for the function, performance and power requirements of critical applications driving key secular growth end markets.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combination of our highly-differentiated technology and our scaled manufacturing footprint enables us to attract a large share of single-sourced products and long-term supply agreements (“LTAs”), providing a high degree of revenue visibility and significant operating leverage, resulting in improved financial performance and bottom line growth. These agreements include binding, multi-year, reciprocal annual (and, in some cases, quarterly) minimum purchase and supply commitments with wafer pricing and associated mechanics outlined for the contract term. Through an intense focus on collaboration, we have built deep strategic partnerships with a broad base of more than 40 customers with LTAs as of September 30, 2023, many of whom are the global leaders in their field.</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principal source of our revenue is wafer fabrication and sales of finished semiconductor wafers, which accounted for approximately 92% of our net revenue for the three and nine months ended September 30, 2023, respectively. The rest of our net revenue was mainly derived from photomask manufacturing, sourcing services and pre-fab manufacturing services.</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semiconductor industry continues to face uncertain economic conditions that has impacted demand in certain sectors. We remain cautious regarding the sustained macroeconomic headwinds facing our industry. We continue to implement a long-term partnership-driven model with our customers, which is helping to provide improved visibility for our business through this period of uncertainty.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generate the majority of our revenue from sales of finished semiconductor wafers, which are priced on a per-wafer basis for the applicable design. We also generate revenue from pre-fabrication services such as rendering of non-recurring engineering (“NRE”) services, mask production and pre-fabrication services such as bump, test, and packaging. Pricing is typically agreed prior to production and then updated based on subsequent period negotiations.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Cost of revenue consists primarily of material expenses, depreciation and amortization, employee-related expenses, facility costs and costs of fixed assets, including maintenance and spare parts. Material expenses primarily include the costs of raw wafers, test wafers, photomasks, resists, process gases, process chemicals, other operating supplies, and external service costs for wafer manufacturing. Costs related to NRE services are also included within the cost of revenue. As it pertains to inflation and inflationary-headwinds we are facing within our business, we have experienced increased costs for materials and energy, and we expect these increases to continue to have an adverse impact on our financial results of operations, while these economic conditions persist.</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charges primarily include the depreciation of production equipment. We periodically assess the estimated useful lives of</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property, plant and equipment</w:t>
      </w:r>
      <w:r>
        <w:rPr>
          <w:rFonts w:ascii="Arial" w:cs="Arial" w:eastAsia="Arial" w:hAnsi="Arial"/>
          <w:sz w:val="21"/>
          <w:szCs w:val="21"/>
          <w:color w:val="auto"/>
        </w:rPr>
        <w:t>.</w:t>
      </w:r>
      <w:r>
        <w:rPr>
          <w:rFonts w:ascii="Arial" w:cs="Arial" w:eastAsia="Arial" w:hAnsi="Arial"/>
          <w:sz w:val="16"/>
          <w:szCs w:val="16"/>
          <w:color w:val="auto"/>
        </w:rPr>
        <w:t xml:space="preserve"> As a result of a review completed in April 2023, the Company concluded the estimated maximum useful life of buildings should be increased from 26 years to 50 years. This change in estimate was applied prospectively, effective beginning in the first quarter of 2023. We depreciate equipment on a straight-line basis over a two-to-ten-year period. Employee-related expenses primarily include employee wages and salaries, social security contributions and benefit costs for operators, maintenance technicians, process engineers, supply chain, IT production, yield improvement and health and safety roles. Facility costs primarily consist of the costs of electricity, water and other utilities and services. We expect cost of revenue to remain relatively flat in absolute terms and as a percentage of revenue in the fourth quarter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operating expense consist of research and development (“R&amp;D”), selling, general and administrative expense (“SG&amp;A”), and restructuring expense. Personnel costs are the most significant component of our operating expenses and consist of salaries, benefits, bonuses, share-based compensation, and commissions.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R&amp;D efforts are focused on developing highly differentiated process technologies and solutions. Our R&amp;D expense includes personnel costs, material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We believe that continued investment in our technology portfolio is important for our future growth and acquisition of new customers. We expect our R&amp;D expense to increase modestly in absolute terms and as a percentage of revenue in the fourth quarter 2023.</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SG&amp;A expense consist primarily of personnel-related costs, including sales commissions to independent sales representatives and professional fees, including the costs of accounting, audit, legal, regulatory and tax compliance. Additionally, costs related to advertising, trade shows, corporate marketing and allocated overhead costs are also included. Beginning in the third quarter of 2023, SG&amp;A expenses also include certain contract cancellation fees and (gain) loss on tool sales previously included in other income (expense).</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incur costs associated with operating as a publicly traded company, including those associated with audit, accounting, legal, information technology, regulatory, compliance, director and officer insurance, and investor and public relations. We expect SG&amp;A expenses to decrease in absolute terms and as a percentage of revenue in the fourth quarter 2023.</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Expense</w:t>
      </w:r>
    </w:p>
    <w:p>
      <w:pPr>
        <w:spacing w:after="0" w:line="131"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Restructuring expense primarily relates to reductions in our global workforce, leased workspace and consultants we engage for strategic support of the restructuring.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Operating Charges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Income (Expense), net</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Finance income (expense), net consists primarily of interest on borrowings, amortization of debt issuance costs under our term loans, revolving credit facility, finance leases and the other credit facilities we maintain with various financial institutions, net of interest income received on our cash deposits.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31"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Other income (expense), net consists of gains and losses and other miscellaneous income and expense items unrelated to our core operations, as well as gains and losses relating to hedging activities.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Income tax expense consists primarily of income taxes in jurisdictions in which we conduct business, which mainly include Germany, Singapore and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80" w:type="dxa"/>
            <w:vAlign w:val="bottom"/>
          </w:tcPr>
          <w:p>
            <w:pPr>
              <w:spacing w:after="0"/>
              <w:rPr>
                <w:sz w:val="20"/>
                <w:szCs w:val="20"/>
                <w:color w:val="auto"/>
              </w:rPr>
            </w:pPr>
            <w:r>
              <w:rPr>
                <w:rFonts w:ascii="Arial" w:cs="Arial" w:eastAsia="Arial" w:hAnsi="Arial"/>
                <w:sz w:val="16"/>
                <w:szCs w:val="16"/>
                <w:b w:val="1"/>
                <w:bCs w:val="1"/>
                <w:color w:val="auto"/>
              </w:rPr>
              <w:t>A. Results of Operations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568"/>
        </w:trPr>
        <w:tc>
          <w:tcPr>
            <w:tcW w:w="8140" w:type="dxa"/>
            <w:vAlign w:val="bottom"/>
            <w:gridSpan w:val="8"/>
          </w:tcPr>
          <w:p>
            <w:pPr>
              <w:spacing w:after="0"/>
              <w:rPr>
                <w:sz w:val="20"/>
                <w:szCs w:val="20"/>
                <w:color w:val="auto"/>
              </w:rPr>
            </w:pPr>
            <w:r>
              <w:rPr>
                <w:rFonts w:ascii="Arial" w:cs="Arial" w:eastAsia="Arial" w:hAnsi="Arial"/>
                <w:sz w:val="16"/>
                <w:szCs w:val="16"/>
                <w:color w:val="auto"/>
              </w:rPr>
              <w:t>The following table sets forth our unaudited consolidated statements of operations data for the periods indicated:</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43"/>
        </w:trPr>
        <w:tc>
          <w:tcPr>
            <w:tcW w:w="44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4"/>
                <w:szCs w:val="24"/>
                <w:color w:val="auto"/>
              </w:rPr>
            </w:pPr>
          </w:p>
        </w:tc>
        <w:tc>
          <w:tcPr>
            <w:tcW w:w="32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24"/>
                <w:szCs w:val="24"/>
                <w:color w:val="auto"/>
              </w:rPr>
            </w:pPr>
          </w:p>
        </w:tc>
        <w:tc>
          <w:tcPr>
            <w:tcW w:w="310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44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2022</w:t>
            </w:r>
          </w:p>
        </w:tc>
      </w:tr>
      <w:tr>
        <w:trPr>
          <w:trHeight w:val="210"/>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1,852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5,538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6,007</w:t>
            </w:r>
          </w:p>
        </w:tc>
      </w:tr>
      <w:tr>
        <w:trPr>
          <w:trHeight w:val="21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1,464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3,962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4,390</w:t>
            </w:r>
          </w:p>
        </w:tc>
      </w:tr>
      <w:tr>
        <w:trPr>
          <w:trHeight w:val="213"/>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529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610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1,576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1,617</w:t>
            </w:r>
          </w:p>
        </w:tc>
      </w:tr>
      <w:tr>
        <w:trPr>
          <w:trHeight w:val="193"/>
        </w:trPr>
        <w:tc>
          <w:tcPr>
            <w:tcW w:w="4480" w:type="dxa"/>
            <w:vAlign w:val="bottom"/>
          </w:tcPr>
          <w:p>
            <w:pPr>
              <w:ind w:left="20"/>
              <w:spacing w:after="0"/>
              <w:rPr>
                <w:sz w:val="20"/>
                <w:szCs w:val="20"/>
                <w:color w:val="auto"/>
              </w:rPr>
            </w:pPr>
            <w:r>
              <w:rPr>
                <w:rFonts w:ascii="Arial" w:cs="Arial" w:eastAsia="Arial" w:hAnsi="Arial"/>
                <w:sz w:val="16"/>
                <w:szCs w:val="16"/>
                <w:i w:val="1"/>
                <w:iCs w:val="1"/>
                <w:color w:val="auto"/>
              </w:rPr>
              <w:t>Gross profit margin</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i w:val="1"/>
                <w:iCs w:val="1"/>
                <w:color w:val="auto"/>
              </w:rPr>
              <w:t>28.6 %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29.4 %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i w:val="1"/>
                <w:iCs w:val="1"/>
                <w:color w:val="auto"/>
              </w:rPr>
              <w:t>28.5 %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26.9 %</w:t>
            </w: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372</w:t>
            </w: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00" w:type="dxa"/>
            <w:vAlign w:val="bottom"/>
          </w:tcPr>
          <w:p>
            <w:pPr>
              <w:spacing w:after="0"/>
              <w:rPr>
                <w:sz w:val="18"/>
                <w:szCs w:val="18"/>
                <w:color w:val="auto"/>
              </w:rPr>
            </w:pP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366</w:t>
            </w: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Operating expense</w:t>
            </w: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268</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253</w:t>
            </w:r>
          </w:p>
        </w:tc>
        <w:tc>
          <w:tcPr>
            <w:tcW w:w="8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750</w:t>
            </w:r>
          </w:p>
        </w:tc>
        <w:tc>
          <w:tcPr>
            <w:tcW w:w="10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738</w:t>
            </w:r>
          </w:p>
        </w:tc>
      </w:tr>
      <w:tr>
        <w:trPr>
          <w:trHeight w:val="210"/>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Profit from operations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879</w:t>
            </w: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Finance income (expense), net</w:t>
            </w:r>
          </w:p>
        </w:tc>
        <w:tc>
          <w:tcPr>
            <w:tcW w:w="200" w:type="dxa"/>
            <w:vAlign w:val="bottom"/>
          </w:tcPr>
          <w:p>
            <w:pPr>
              <w:spacing w:after="0"/>
              <w:rPr>
                <w:sz w:val="18"/>
                <w:szCs w:val="18"/>
                <w:color w:val="auto"/>
              </w:rPr>
            </w:pP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(58)</w:t>
            </w: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of profit of joint ventures</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r>
      <w:tr>
        <w:trPr>
          <w:trHeight w:val="21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32</w:t>
            </w:r>
          </w:p>
        </w:tc>
      </w:tr>
      <w:tr>
        <w:trPr>
          <w:trHeight w:val="213"/>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Profit before income taxes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856</w:t>
            </w:r>
          </w:p>
        </w:tc>
      </w:tr>
      <w:tr>
        <w:trPr>
          <w:trHeight w:val="21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(78)</w:t>
            </w: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for the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249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336</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740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Comparison of Three Months Ended September 30, 2023 and 2022 and Nine Months Ended September 30, 2023 and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380" w:type="dxa"/>
            <w:vAlign w:val="bottom"/>
          </w:tcPr>
          <w:p>
            <w:pPr>
              <w:spacing w:after="0"/>
              <w:rPr>
                <w:sz w:val="20"/>
                <w:szCs w:val="20"/>
                <w:color w:val="auto"/>
              </w:rPr>
            </w:pPr>
            <w:r>
              <w:rPr>
                <w:rFonts w:ascii="Arial" w:cs="Arial" w:eastAsia="Arial" w:hAnsi="Arial"/>
                <w:sz w:val="16"/>
                <w:szCs w:val="16"/>
                <w:b w:val="1"/>
                <w:bCs w:val="1"/>
                <w:i w:val="1"/>
                <w:iCs w:val="1"/>
                <w:color w:val="auto"/>
              </w:rPr>
              <w:t>Net Revenue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7"/>
        </w:trPr>
        <w:tc>
          <w:tcPr>
            <w:tcW w:w="13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Nine Months Ended September 30,</w:t>
            </w:r>
          </w:p>
        </w:tc>
        <w:tc>
          <w:tcPr>
            <w:tcW w:w="1060" w:type="dxa"/>
            <w:vAlign w:val="bottom"/>
            <w:tcBorders>
              <w:bottom w:val="single" w:sz="8" w:color="auto"/>
            </w:tcBorders>
          </w:tcPr>
          <w:p>
            <w:pPr>
              <w:spacing w:after="0"/>
              <w:rPr>
                <w:sz w:val="20"/>
                <w:szCs w:val="20"/>
                <w:color w:val="auto"/>
              </w:rPr>
            </w:pPr>
          </w:p>
        </w:tc>
      </w:tr>
      <w:tr>
        <w:trPr>
          <w:trHeight w:val="222"/>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Change</w:t>
            </w:r>
          </w:p>
        </w:tc>
        <w:tc>
          <w:tcPr>
            <w:tcW w:w="1040" w:type="dxa"/>
            <w:vAlign w:val="bottom"/>
          </w:tcPr>
          <w:p>
            <w:pPr>
              <w:ind w:left="20"/>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ind w:left="8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305"/>
        </w:trPr>
        <w:tc>
          <w:tcPr>
            <w:tcW w:w="138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90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10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spacing w:after="0"/>
              <w:rPr>
                <w:sz w:val="24"/>
                <w:szCs w:val="24"/>
                <w:color w:val="auto"/>
              </w:rPr>
            </w:pPr>
          </w:p>
        </w:tc>
        <w:tc>
          <w:tcPr>
            <w:tcW w:w="60" w:type="dxa"/>
            <w:vAlign w:val="bottom"/>
            <w:tcBorders>
              <w:top w:val="single" w:sz="8" w:color="auto"/>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90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1060" w:type="dxa"/>
            <w:vAlign w:val="bottom"/>
            <w:tcBorders>
              <w:top w:val="single" w:sz="8" w:color="auto"/>
              <w:bottom w:val="single" w:sz="8" w:color="CCEEFF"/>
            </w:tcBorders>
          </w:tcPr>
          <w:p>
            <w:pPr>
              <w:spacing w:after="0"/>
              <w:rPr>
                <w:sz w:val="24"/>
                <w:szCs w:val="24"/>
                <w:color w:val="auto"/>
              </w:rPr>
            </w:pPr>
          </w:p>
        </w:tc>
      </w:tr>
      <w:tr>
        <w:trPr>
          <w:trHeight w:val="210"/>
        </w:trPr>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(10.7)%  $</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5,538</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bl>
    <w:p>
      <w:pPr>
        <w:spacing w:after="0" w:line="32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Net revenue decreased by $222 million or 10.7% for the three-months ended September 30, 2023 compared to the three-months ended September 30, 2022. The decrease was driven by lower wafer shipment volume of 575 thousand (300mm equivalent), a 10% decrease from prior period.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Net revenue decreased $469 million, or 7.8%, for the nine-months ended September 30, 2023, compared to the nine-months ended September 30, 2022. The decrease was driven by lower wafer shipment volume of 1.7 million (300mm equivalent), a 12% decrease from the prior year, offset by a 3% increase in average selling price year over year driven by ramping LTAs with better pricing, and continued improvement in product mix and a 27% increase in revenue generated from engineering and other prefabrication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4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67"/>
        </w:trPr>
        <w:tc>
          <w:tcPr>
            <w:tcW w:w="17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4780" w:type="dxa"/>
            <w:vAlign w:val="bottom"/>
            <w:gridSpan w:val="9"/>
          </w:tcPr>
          <w:p>
            <w:pPr>
              <w:ind w:left="960"/>
              <w:spacing w:after="0"/>
              <w:rPr>
                <w:sz w:val="20"/>
                <w:szCs w:val="20"/>
                <w:color w:val="auto"/>
              </w:rPr>
            </w:pPr>
            <w:r>
              <w:rPr>
                <w:rFonts w:ascii="Arial" w:cs="Arial" w:eastAsia="Arial" w:hAnsi="Arial"/>
                <w:sz w:val="16"/>
                <w:szCs w:val="16"/>
                <w:b w:val="1"/>
                <w:bCs w:val="1"/>
                <w:color w:val="auto"/>
              </w:rPr>
              <w:t>Three Months Ended September 30,</w:t>
            </w:r>
          </w:p>
        </w:tc>
        <w:tc>
          <w:tcPr>
            <w:tcW w:w="4700" w:type="dxa"/>
            <w:vAlign w:val="bottom"/>
            <w:gridSpan w:val="8"/>
          </w:tcPr>
          <w:p>
            <w:pPr>
              <w:jc w:val="right"/>
              <w:ind w:right="939"/>
              <w:spacing w:after="0"/>
              <w:rPr>
                <w:sz w:val="20"/>
                <w:szCs w:val="20"/>
                <w:color w:val="auto"/>
              </w:rPr>
            </w:pPr>
            <w:r>
              <w:rPr>
                <w:rFonts w:ascii="Arial" w:cs="Arial" w:eastAsia="Arial" w:hAnsi="Arial"/>
                <w:sz w:val="16"/>
                <w:szCs w:val="16"/>
                <w:b w:val="1"/>
                <w:bCs w:val="1"/>
                <w:color w:val="auto"/>
              </w:rPr>
              <w:t>Nine Months Ended September 30,</w:t>
            </w:r>
          </w:p>
        </w:tc>
      </w:tr>
      <w:tr>
        <w:trPr>
          <w:trHeight w:val="222"/>
        </w:trPr>
        <w:tc>
          <w:tcPr>
            <w:tcW w:w="1740" w:type="dxa"/>
            <w:vAlign w:val="bottom"/>
          </w:tcPr>
          <w:p>
            <w:pPr>
              <w:spacing w:after="0"/>
              <w:rPr>
                <w:sz w:val="19"/>
                <w:szCs w:val="19"/>
                <w:color w:val="auto"/>
              </w:rPr>
            </w:pPr>
          </w:p>
        </w:tc>
        <w:tc>
          <w:tcPr>
            <w:tcW w:w="112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305"/>
        </w:trPr>
        <w:tc>
          <w:tcPr>
            <w:tcW w:w="17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30"/>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1,323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3,962</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11"/>
        </w:trPr>
        <w:tc>
          <w:tcPr>
            <w:tcW w:w="1740" w:type="dxa"/>
            <w:vAlign w:val="bottom"/>
          </w:tcPr>
          <w:p>
            <w:pPr>
              <w:ind w:left="20"/>
              <w:spacing w:after="0"/>
              <w:rPr>
                <w:sz w:val="20"/>
                <w:szCs w:val="20"/>
                <w:color w:val="auto"/>
              </w:rPr>
            </w:pPr>
            <w:r>
              <w:rPr>
                <w:rFonts w:ascii="Arial" w:cs="Arial" w:eastAsia="Arial" w:hAnsi="Arial"/>
                <w:sz w:val="16"/>
                <w:szCs w:val="16"/>
                <w:i w:val="1"/>
                <w:iCs w:val="1"/>
                <w:color w:val="auto"/>
              </w:rPr>
              <w:t>Gross margin</w:t>
            </w:r>
          </w:p>
        </w:tc>
        <w:tc>
          <w:tcPr>
            <w:tcW w:w="1120" w:type="dxa"/>
            <w:vAlign w:val="bottom"/>
          </w:tcPr>
          <w:p>
            <w:pPr>
              <w:jc w:val="right"/>
              <w:spacing w:after="0"/>
              <w:rPr>
                <w:sz w:val="20"/>
                <w:szCs w:val="20"/>
                <w:color w:val="auto"/>
              </w:rPr>
            </w:pPr>
            <w:r>
              <w:rPr>
                <w:rFonts w:ascii="Arial" w:cs="Arial" w:eastAsia="Arial" w:hAnsi="Arial"/>
                <w:sz w:val="16"/>
                <w:szCs w:val="16"/>
                <w:color w:val="auto"/>
              </w:rPr>
              <w:t>28.6 %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29.4 %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120" w:type="dxa"/>
            <w:vAlign w:val="bottom"/>
          </w:tcPr>
          <w:p>
            <w:pPr>
              <w:jc w:val="right"/>
              <w:spacing w:after="0"/>
              <w:rPr>
                <w:sz w:val="20"/>
                <w:szCs w:val="20"/>
                <w:color w:val="auto"/>
              </w:rPr>
            </w:pPr>
            <w:r>
              <w:rPr>
                <w:rFonts w:ascii="Arial" w:cs="Arial" w:eastAsia="Arial" w:hAnsi="Arial"/>
                <w:sz w:val="16"/>
                <w:szCs w:val="16"/>
                <w:color w:val="auto"/>
              </w:rPr>
              <w:t>28.5 %</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26.9 %</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Cost of revenue decreased by $141 million and $428 million or 9.6% and 9.7%, for the three-and-nine months ended September 30, 2023 compared to the three-and-nine months ended September 30, 2022. The decrease was primarily a result of lower shipments in the period, depreciation and amortization expense reduction, a decrease in employee-related expenses driven by the sale of the East Fishkill business and restructuring activities.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94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0"/>
        </w:trPr>
        <w:tc>
          <w:tcPr>
            <w:tcW w:w="31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Research and Development Expense</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4760" w:type="dxa"/>
            <w:vAlign w:val="bottom"/>
            <w:gridSpan w:val="9"/>
          </w:tcPr>
          <w:p>
            <w:pPr>
              <w:ind w:left="960"/>
              <w:spacing w:after="0"/>
              <w:rPr>
                <w:sz w:val="20"/>
                <w:szCs w:val="20"/>
                <w:color w:val="auto"/>
              </w:rPr>
            </w:pPr>
            <w:r>
              <w:rPr>
                <w:rFonts w:ascii="Arial" w:cs="Arial" w:eastAsia="Arial" w:hAnsi="Arial"/>
                <w:sz w:val="16"/>
                <w:szCs w:val="16"/>
                <w:b w:val="1"/>
                <w:bCs w:val="1"/>
                <w:color w:val="auto"/>
              </w:rPr>
              <w:t>Three Months Ended September 30,</w:t>
            </w:r>
          </w:p>
        </w:tc>
        <w:tc>
          <w:tcPr>
            <w:tcW w:w="4480" w:type="dxa"/>
            <w:vAlign w:val="bottom"/>
            <w:gridSpan w:val="8"/>
          </w:tcPr>
          <w:p>
            <w:pPr>
              <w:jc w:val="right"/>
              <w:ind w:right="83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112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2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2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05"/>
        </w:trPr>
        <w:tc>
          <w:tcPr>
            <w:tcW w:w="19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94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rPr>
              <w:t>Research and</w:t>
            </w:r>
          </w:p>
        </w:tc>
        <w:tc>
          <w:tcPr>
            <w:tcW w:w="1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26"/>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development expense</w:t>
            </w:r>
          </w:p>
        </w:tc>
        <w:tc>
          <w:tcPr>
            <w:tcW w:w="11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940" w:type="dxa"/>
            <w:vAlign w:val="bottom"/>
            <w:tcBorders>
              <w:bottom w:val="single" w:sz="8" w:color="CCEEFF"/>
            </w:tcBorders>
            <w:vMerge w:val="continue"/>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94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5.8 %</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6.0 %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i w:val="1"/>
                <w:iCs w:val="1"/>
                <w:color w:val="auto"/>
              </w:rPr>
              <w:t>5.8%</w:t>
            </w:r>
          </w:p>
        </w:tc>
        <w:tc>
          <w:tcPr>
            <w:tcW w:w="10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i w:val="1"/>
                <w:iCs w:val="1"/>
                <w:color w:val="auto"/>
              </w:rPr>
              <w:t>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Research and development expense decreased by $16 million or 12.9% for the three months ended September 30, 2023 compared to the three months ended September 30, 2022. The decrease was primarily due to lower employee-related expenses of $20 million driven by lower headcount, offset by $7 million of R&amp;D pre-production costs.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Research and development expense decreased by $49 million or 13.2% for the nine-months ended September 30, 2023 compared to the nine months ended September 30, 2022. The decrease was primarily as a result of lower employee-related expenses of $52 million due to lower headcount and decrease in R&amp;D technology portfolio investment of $10 million. This decrease was offset by $13 million of R&amp;D pre-production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4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Selling, General and Administrative Expense</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7"/>
        </w:trPr>
        <w:tc>
          <w:tcPr>
            <w:tcW w:w="19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4640" w:type="dxa"/>
            <w:vAlign w:val="bottom"/>
            <w:gridSpan w:val="10"/>
          </w:tcPr>
          <w:p>
            <w:pPr>
              <w:ind w:left="900"/>
              <w:spacing w:after="0"/>
              <w:rPr>
                <w:sz w:val="20"/>
                <w:szCs w:val="20"/>
                <w:color w:val="auto"/>
              </w:rPr>
            </w:pPr>
            <w:r>
              <w:rPr>
                <w:rFonts w:ascii="Arial" w:cs="Arial" w:eastAsia="Arial" w:hAnsi="Arial"/>
                <w:sz w:val="16"/>
                <w:szCs w:val="16"/>
                <w:b w:val="1"/>
                <w:bCs w:val="1"/>
                <w:color w:val="auto"/>
              </w:rPr>
              <w:t>Three Months Ended September 30,</w:t>
            </w:r>
          </w:p>
        </w:tc>
        <w:tc>
          <w:tcPr>
            <w:tcW w:w="4620" w:type="dxa"/>
            <w:vAlign w:val="bottom"/>
            <w:gridSpan w:val="8"/>
          </w:tcPr>
          <w:p>
            <w:pPr>
              <w:jc w:val="right"/>
              <w:ind w:right="89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22"/>
        </w:trPr>
        <w:tc>
          <w:tcPr>
            <w:tcW w:w="1920" w:type="dxa"/>
            <w:vAlign w:val="bottom"/>
          </w:tcPr>
          <w:p>
            <w:pPr>
              <w:spacing w:after="0"/>
              <w:rPr>
                <w:sz w:val="19"/>
                <w:szCs w:val="19"/>
                <w:color w:val="auto"/>
              </w:rPr>
            </w:pPr>
          </w:p>
        </w:tc>
        <w:tc>
          <w:tcPr>
            <w:tcW w:w="10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80" w:type="dxa"/>
            <w:vAlign w:val="bottom"/>
          </w:tcPr>
          <w:p>
            <w:pPr>
              <w:spacing w:after="0"/>
              <w:rPr>
                <w:sz w:val="19"/>
                <w:szCs w:val="19"/>
                <w:color w:val="auto"/>
              </w:rPr>
            </w:pPr>
          </w:p>
        </w:tc>
        <w:tc>
          <w:tcPr>
            <w:tcW w:w="11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2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05"/>
        </w:trPr>
        <w:tc>
          <w:tcPr>
            <w:tcW w:w="19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w:t>
            </w:r>
          </w:p>
        </w:tc>
        <w:tc>
          <w:tcPr>
            <w:tcW w:w="10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8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112"/>
        </w:trPr>
        <w:tc>
          <w:tcPr>
            <w:tcW w:w="19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administrative expense</w:t>
            </w:r>
          </w:p>
        </w:tc>
        <w:tc>
          <w:tcPr>
            <w:tcW w:w="10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920" w:type="dxa"/>
            <w:vAlign w:val="bottom"/>
            <w:vMerge w:val="continue"/>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92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7.7 %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rPr>
              <w:t>6.2 %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7.0 %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6.1 %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Selling, general, and administrative expense increased by $14 million, or 10.9% for the three-months ended September 30, 2023, compared to the three-months ended September 30, 2022. The change was primarily a result of $7 million higher professional services spend, associated with strategic initiatives, and $6 million related to software leases and IT related costs.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Selling, general, and administrative expense increased by $20 million, or 5.5% for the nine-months ended September 30, 2023, compared to the nine-months ended September 30, 2022. The change was primarily a result of $15 million higher professional services spend, associated with strategic initiatives, including new executive hires, $13.1 million related to software leases, offset by $3 million lower sales commission and $5 million gain on tool sales. Beginning third quarter 2023, (gain) loss on tool sales are reported as a component of selling, general, administrative expense. Prior period amounts have not been adjusted as they are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Restructuring Expense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80"/>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3820" w:type="dxa"/>
            <w:vAlign w:val="bottom"/>
            <w:gridSpan w:val="10"/>
          </w:tcPr>
          <w:p>
            <w:pPr>
              <w:jc w:val="center"/>
              <w:ind w:right="840"/>
              <w:spacing w:after="0"/>
              <w:rPr>
                <w:sz w:val="20"/>
                <w:szCs w:val="20"/>
                <w:color w:val="auto"/>
              </w:rPr>
            </w:pPr>
            <w:r>
              <w:rPr>
                <w:rFonts w:ascii="Arial" w:cs="Arial" w:eastAsia="Arial" w:hAnsi="Arial"/>
                <w:sz w:val="16"/>
                <w:szCs w:val="16"/>
                <w:b w:val="1"/>
                <w:bCs w:val="1"/>
                <w:color w:val="auto"/>
              </w:rPr>
              <w:t>Three Months Ended September 30,</w:t>
            </w:r>
          </w:p>
        </w:tc>
        <w:tc>
          <w:tcPr>
            <w:tcW w:w="780" w:type="dxa"/>
            <w:vAlign w:val="bottom"/>
          </w:tcPr>
          <w:p>
            <w:pPr>
              <w:spacing w:after="0"/>
              <w:rPr>
                <w:sz w:val="24"/>
                <w:szCs w:val="24"/>
                <w:color w:val="auto"/>
              </w:rPr>
            </w:pPr>
          </w:p>
        </w:tc>
        <w:tc>
          <w:tcPr>
            <w:tcW w:w="3740" w:type="dxa"/>
            <w:vAlign w:val="bottom"/>
            <w:gridSpan w:val="9"/>
          </w:tcPr>
          <w:p>
            <w:pPr>
              <w:ind w:left="160"/>
              <w:spacing w:after="0"/>
              <w:rPr>
                <w:sz w:val="20"/>
                <w:szCs w:val="20"/>
                <w:color w:val="auto"/>
              </w:rPr>
            </w:pPr>
            <w:r>
              <w:rPr>
                <w:rFonts w:ascii="Arial" w:cs="Arial" w:eastAsia="Arial" w:hAnsi="Arial"/>
                <w:sz w:val="16"/>
                <w:szCs w:val="16"/>
                <w:b w:val="1"/>
                <w:bCs w:val="1"/>
                <w:color w:val="auto"/>
              </w:rPr>
              <w:t>Nine Months Ended September 30,</w:t>
            </w:r>
          </w:p>
        </w:tc>
      </w:tr>
      <w:tr>
        <w:trPr>
          <w:trHeight w:val="222"/>
        </w:trPr>
        <w:tc>
          <w:tcPr>
            <w:tcW w:w="20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16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rPr>
              <w:t>% Change</w:t>
            </w: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1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16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 Change</w:t>
            </w:r>
          </w:p>
        </w:tc>
      </w:tr>
      <w:tr>
        <w:trPr>
          <w:trHeight w:val="305"/>
        </w:trPr>
        <w:tc>
          <w:tcPr>
            <w:tcW w:w="20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NA</w:t>
            </w: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4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w w:val="98"/>
              </w:rPr>
              <w:t>NA</w:t>
            </w:r>
          </w:p>
        </w:tc>
      </w:tr>
    </w:tbl>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Restructuring expense were $17 million and $41 million for the three and nine-months ended September 30, 2023, respectively, compared to $0 for the three and nine-months ended September 30, 2022. This change was due to the Company incurring employee-related charges associated with the reduction in our global workforce beginning in the fourth quarter 2022.</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Finance income (expense), net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7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3840" w:type="dxa"/>
            <w:vAlign w:val="bottom"/>
            <w:gridSpan w:val="10"/>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4580" w:type="dxa"/>
            <w:vAlign w:val="bottom"/>
            <w:gridSpan w:val="8"/>
          </w:tcPr>
          <w:p>
            <w:pPr>
              <w:jc w:val="right"/>
              <w:ind w:right="87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22"/>
        </w:trPr>
        <w:tc>
          <w:tcPr>
            <w:tcW w:w="1960" w:type="dxa"/>
            <w:vAlign w:val="bottom"/>
          </w:tcPr>
          <w:p>
            <w:pPr>
              <w:spacing w:after="0"/>
              <w:rPr>
                <w:sz w:val="19"/>
                <w:szCs w:val="19"/>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10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2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05"/>
        </w:trPr>
        <w:tc>
          <w:tcPr>
            <w:tcW w:w="19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76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6"/>
                <w:szCs w:val="16"/>
                <w:color w:val="auto"/>
              </w:rPr>
              <w:t>Finance income</w:t>
            </w: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(11)  $</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127.3 %</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106.9 %</w:t>
            </w:r>
          </w:p>
        </w:tc>
        <w:tc>
          <w:tcPr>
            <w:tcW w:w="0" w:type="dxa"/>
            <w:vAlign w:val="bottom"/>
          </w:tcPr>
          <w:p>
            <w:pPr>
              <w:spacing w:after="0"/>
              <w:rPr>
                <w:sz w:val="1"/>
                <w:szCs w:val="1"/>
                <w:color w:val="auto"/>
              </w:rPr>
            </w:pPr>
          </w:p>
        </w:tc>
      </w:tr>
      <w:tr>
        <w:trPr>
          <w:trHeight w:val="126"/>
        </w:trPr>
        <w:tc>
          <w:tcPr>
            <w:tcW w:w="27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(expense), net</w:t>
            </w:r>
          </w:p>
        </w:tc>
        <w:tc>
          <w:tcPr>
            <w:tcW w:w="2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540" w:type="dxa"/>
            <w:vAlign w:val="bottom"/>
            <w:gridSpan w:val="3"/>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76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9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21"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Finance income, net increased by $14 million or 127.3%, for the three-months ended September 30, 2023, compared to the three-months ended September 30, 2022. The increase was primarily a result of $22 million higher interest income generated from money market funds and investments in marketable securities, partially offset by $8 million higher interest expense.</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Finance income, net increased by $62 million or 106.9% for the nine-months ended September 30, 2023 compared to the nine-months ended September 30, 2022. The increase was primarily a result of $80 million higher interest income generated from money market funds and increased investment in marketable securities, partially offset by $17 million higher interest expense.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5"/>
        </w:trPr>
        <w:tc>
          <w:tcPr>
            <w:tcW w:w="270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3900" w:type="dxa"/>
            <w:vAlign w:val="bottom"/>
            <w:gridSpan w:val="10"/>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4580" w:type="dxa"/>
            <w:vAlign w:val="bottom"/>
            <w:gridSpan w:val="8"/>
          </w:tcPr>
          <w:p>
            <w:pPr>
              <w:jc w:val="right"/>
              <w:ind w:right="87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22"/>
        </w:trPr>
        <w:tc>
          <w:tcPr>
            <w:tcW w:w="19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2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05"/>
        </w:trPr>
        <w:tc>
          <w:tcPr>
            <w:tcW w:w="19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(21)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0" w:type="dxa"/>
            <w:vAlign w:val="bottom"/>
          </w:tcPr>
          <w:p>
            <w:pPr>
              <w:spacing w:after="0"/>
              <w:rPr>
                <w:sz w:val="1"/>
                <w:szCs w:val="1"/>
                <w:color w:val="auto"/>
              </w:rPr>
            </w:pPr>
          </w:p>
        </w:tc>
      </w:tr>
      <w:tr>
        <w:trPr>
          <w:trHeight w:val="112"/>
        </w:trPr>
        <w:tc>
          <w:tcPr>
            <w:tcW w:w="27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net</w:t>
            </w:r>
          </w:p>
        </w:tc>
        <w:tc>
          <w:tcPr>
            <w:tcW w:w="3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700" w:type="dxa"/>
            <w:vAlign w:val="bottom"/>
            <w:gridSpan w:val="2"/>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Other income (expense), net decreased by $29 million for the three-months ended September 30, 2023 compared to the three-months ended September 30, 2022. The decrease was primarily driven by $19 million of increased foreign exchange currency losses related to currency hedges and a $13 million higher gain on tool sales in the third quarter 2022, as compared to 2023. Beginning third quarter 2023, (gain) loss on tool sales are reported as a component of selling, general, and administrative expenses. Prior period amounts have not been adjusted as they are immaterial.</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Other income (expense), net decreased by $79 million, for the nine-months ended September 30, 2023, compared to the nine-months ended September 30, 2022. The decrease was primarily driven by $58 million of increased foreign exchange currency losses related to currency hedges and the unwinding of certain commodity hedges and decreased gain on tool sales of $27 million. Beginning third quarter 2023, (gain) loss on tool sales are reported as a component of selling, general, and administrative expenses. Prior period amounts have not been adjusted as they are immaterial.</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Income Tax Expense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27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3840" w:type="dxa"/>
            <w:vAlign w:val="bottom"/>
            <w:gridSpan w:val="10"/>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4580" w:type="dxa"/>
            <w:vAlign w:val="bottom"/>
            <w:gridSpan w:val="8"/>
          </w:tcPr>
          <w:p>
            <w:pPr>
              <w:jc w:val="right"/>
              <w:ind w:right="87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22"/>
        </w:trPr>
        <w:tc>
          <w:tcPr>
            <w:tcW w:w="19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0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2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05"/>
        </w:trPr>
        <w:tc>
          <w:tcPr>
            <w:tcW w:w="19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(19)  $</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(131.6)%</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42.3 %</w:t>
            </w:r>
          </w:p>
        </w:tc>
        <w:tc>
          <w:tcPr>
            <w:tcW w:w="0" w:type="dxa"/>
            <w:vAlign w:val="bottom"/>
          </w:tcPr>
          <w:p>
            <w:pPr>
              <w:spacing w:after="0"/>
              <w:rPr>
                <w:sz w:val="1"/>
                <w:szCs w:val="1"/>
                <w:color w:val="auto"/>
              </w:rPr>
            </w:pPr>
          </w:p>
        </w:tc>
      </w:tr>
      <w:tr>
        <w:trPr>
          <w:trHeight w:val="112"/>
        </w:trPr>
        <w:tc>
          <w:tcPr>
            <w:tcW w:w="27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benefit</w:t>
            </w:r>
          </w:p>
        </w:tc>
        <w:tc>
          <w:tcPr>
            <w:tcW w:w="2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560" w:type="dxa"/>
            <w:vAlign w:val="bottom"/>
            <w:gridSpan w:val="3"/>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760" w:type="dxa"/>
            <w:vAlign w:val="bottom"/>
            <w:gridSpan w:val="2"/>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Income tax (expense) benefit decreased by $25 million, or 131.6%, for the three-months ended September 30, 2023, compared to the three-months ended September 30, 2022. The decrease in expense was primarily a result of a $25 million reclassification of withholding tax expense accrued in the United States from income tax expense in the third quarter 2023. Withholding tax expense is not creditable against income taxes.</w:t>
      </w:r>
    </w:p>
    <w:p>
      <w:pPr>
        <w:spacing w:after="0" w:line="22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Income tax expense decreased by $33 million, or 42.3%, for the nine-months ended September 30, 2023, compared to the nine-months ended September 30, 2022. The decrease in expense was primarily a result of an improved mix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21"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income in certain jurisdictions and a $25 million reclassification of withholding tax expense accrued in the United States from income tax expense in the third quarter 2023. Withholding tax expense is not creditable against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Liquidity and Capital Resources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have financed our operations primarily through cash and cash equivalents, marketable securities, as well as cash generated from our business operations, including customers' prepayments under LTAs. As of September 30, 2023, our cash, cash equivalents and marketable securities balances of $3.4 billion included $1.9 billion of cash and cash equivalents and $1.5 billion of marketable securities.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September 30, 2023 and December 31, 2022, we had an undrawn revolving credit facility of $1 billion. In addition to our available revolver, we had $2.4 billion and $2.5 billion of debt outstanding as of September 30, 2023 and December 31, 2022, respectively, which was primarily comprised of multiple term loans in various currencies. Our future capital requirements will depend on many factors, including our revenue growth rate, the timing and the amount we receive from customers, the timing and extent of our fab expansion in new and existing territories, spending to support research and development efforts, the introduction of new and enhanced products and solutions, and the continuing market adoption of our technology offerings. We may from time to time seek to raise additional capital to support our growth. We believe that our existing cash, cash equivalents, investment in marketable securities, credit under our revolving credit facility, and expected cash generated from operations, are sufficient to meet our short and long term capital requirements.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40" w:type="dxa"/>
            <w:vAlign w:val="bottom"/>
          </w:tcPr>
          <w:p>
            <w:pPr>
              <w:spacing w:after="0"/>
              <w:rPr>
                <w:sz w:val="20"/>
                <w:szCs w:val="20"/>
                <w:color w:val="auto"/>
              </w:rPr>
            </w:pPr>
            <w:r>
              <w:rPr>
                <w:rFonts w:ascii="Arial" w:cs="Arial" w:eastAsia="Arial" w:hAnsi="Arial"/>
                <w:sz w:val="16"/>
                <w:szCs w:val="16"/>
                <w:b w:val="1"/>
                <w:bCs w:val="1"/>
                <w:color w:val="auto"/>
              </w:rPr>
              <w:t>Cash Flows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0"/>
        </w:trPr>
        <w:tc>
          <w:tcPr>
            <w:tcW w:w="7340" w:type="dxa"/>
            <w:vAlign w:val="bottom"/>
          </w:tcPr>
          <w:p>
            <w:pPr>
              <w:spacing w:after="0"/>
              <w:rPr>
                <w:sz w:val="20"/>
                <w:szCs w:val="20"/>
                <w:color w:val="auto"/>
              </w:rPr>
            </w:pPr>
            <w:r>
              <w:rPr>
                <w:rFonts w:ascii="Arial" w:cs="Arial" w:eastAsia="Arial" w:hAnsi="Arial"/>
                <w:sz w:val="16"/>
                <w:szCs w:val="16"/>
                <w:color w:val="auto"/>
              </w:rPr>
              <w:t>The following table shows a summary of our cash flows for the periods presented:</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24"/>
        </w:trPr>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560" w:type="dxa"/>
            <w:vAlign w:val="bottom"/>
            <w:tcBorders>
              <w:bottom w:val="single" w:sz="8" w:color="auto"/>
            </w:tcBorders>
          </w:tcPr>
          <w:p>
            <w:pPr>
              <w:spacing w:after="0"/>
              <w:rPr>
                <w:sz w:val="24"/>
                <w:szCs w:val="24"/>
                <w:color w:val="auto"/>
              </w:rPr>
            </w:pPr>
          </w:p>
        </w:tc>
      </w:tr>
      <w:tr>
        <w:trPr>
          <w:trHeight w:val="223"/>
        </w:trPr>
        <w:tc>
          <w:tcPr>
            <w:tcW w:w="7340" w:type="dxa"/>
            <w:vAlign w:val="bottom"/>
          </w:tcPr>
          <w:p>
            <w:pPr>
              <w:spacing w:after="0"/>
              <w:rPr>
                <w:sz w:val="19"/>
                <w:szCs w:val="19"/>
                <w:color w:val="auto"/>
              </w:rPr>
            </w:pPr>
          </w:p>
        </w:tc>
        <w:tc>
          <w:tcPr>
            <w:tcW w:w="13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560" w:type="dxa"/>
            <w:vAlign w:val="bottom"/>
          </w:tcPr>
          <w:p>
            <w:pPr>
              <w:spacing w:after="0"/>
              <w:rPr>
                <w:sz w:val="19"/>
                <w:szCs w:val="19"/>
                <w:color w:val="auto"/>
              </w:rPr>
            </w:pPr>
          </w:p>
        </w:tc>
      </w:tr>
      <w:tr>
        <w:trPr>
          <w:trHeight w:val="210"/>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1,441</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2,133</w:t>
            </w:r>
          </w:p>
        </w:tc>
      </w:tr>
      <w:tr>
        <w:trPr>
          <w:trHeight w:val="216"/>
        </w:trPr>
        <w:tc>
          <w:tcPr>
            <w:tcW w:w="734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(1,787)</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(3,007)</w:t>
            </w: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482</w:t>
            </w:r>
          </w:p>
        </w:tc>
      </w:tr>
      <w:tr>
        <w:trPr>
          <w:trHeight w:val="207"/>
        </w:trPr>
        <w:tc>
          <w:tcPr>
            <w:tcW w:w="73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Effect of exchange rate changes on cash and cash equivalents</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320" w:type="dxa"/>
            <w:vAlign w:val="bottom"/>
            <w:tcBorders>
              <w:bottom w:val="single" w:sz="8" w:color="auto"/>
            </w:tcBorders>
            <w:gridSpan w:val="2"/>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Cash provided by operating activities for the nine-months ended September 30, 2023 of $1,441 million decreased $692 million compared to the $2,133 million provided for the nine-month period ended September 30, 2022. The decrease was primarily attributable to lower net income of $38 million, reduced depreciation and amortization of intangible assets of $165 million, reduced gains on the disposal of property, plant and equipment of $74 million and $17 million of lower share-based compensation expense. Unfavorable changes in working capital of $534 million included a higher cash outflow in trade and other payables of $408 million which was driven by a decrease in advances and deposits. The decrease was also driven by a decrease in receivables, prepayments and other assets of $177 million. This decrease was slightly offset by favorable changes in inventory of $51 million, due to increased raw materials driven by strategic wafer buys, which was offset by a decrease in work in progress related to a decline in sales.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Cash used in investing activities for the nine-months ended September 30, 2023 of $1,787 million, improved $1,220 million compared to the use of $3,007 million for the nine-month period ended September 30, 2022. The lower outflow was primarily driven by $468 million higher net proceeds from marketable securities and $238 million in proceeds from the sale of the East Fishkill business in the nine-month period ended September 30, 2023, as compared to 2022. Additionally, in the prior year, we incurred higher capital expenditures associated with activities to expand capacity within certain of our fabrication facilities. In the current year, costs associated with those expansion activities have moderated, resulting in a decrease of $493 million from the prior year period.</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Cash used in financing activities for the nine-months ended September 30, 2023 of $125 million decreased $607 million as compared to the cash provided by financing activities of $482 million for the nine-months ended September 30, 2022. The change was primarily attributable to reduced net borrowings of $498 million and lower proceeds from the issuance of equity instruments of $100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2023-11-07T06:48:48Z</dcterms:created>
  <dcterms:modified xsi:type="dcterms:W3CDTF">2023-11-07T06:48:48Z</dcterms:modified>
</cp:coreProperties>
</file>