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GLOBALFOUNDRIES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$0.02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Mubadala Investment Company PJSC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ARAB EMIRATES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9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423,042,773.00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423,042,773.00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423,042,773.00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40"/>
          </w:cols>
          <w:pgMar w:left="320" w:top="111" w:right="57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information set forth herein regarding percentages of beneficial ownership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upon information obtained from GLOBALFOUNDRIES Inc. (the "Issuer") regarding the 549,072,416 ordinary shares, $0.02 par value per share ("Ordinary Shares") issued and outstanding as of March 13, 2026 following the completion of certain transactions reported in the Issuer's prospectus supplement filed pursuant to Rule 424(b)(7) with the Securities and Exchange Commission (the "Commission") on March 12,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Mamoura Diversified Global Holding PJSC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ARAB EMIRATES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423,042,773.00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423,042,773.00</w:t>
            </w:r>
          </w:p>
        </w:tc>
        <w:tc>
          <w:tcPr>
            <w:tcW w:w="0" w:type="dxa"/>
            <w:vAlign w:val="bottom"/>
          </w:tcPr>
          <w:p>
            <w:pPr>
              <w:spacing w:after="0"/>
              <w:rPr>
                <w:sz w:val="1"/>
                <w:szCs w:val="1"/>
                <w:color w:val="auto"/>
              </w:rPr>
            </w:pPr>
          </w:p>
        </w:tc>
      </w:tr>
    </w:tbl>
    <w:p>
      <w:pPr>
        <w:sectPr>
          <w:pgSz w:w="11900" w:h="16838" w:orient="portrait"/>
          <w:cols w:equalWidth="0" w:num="1">
            <w:col w:w="11000"/>
          </w:cols>
          <w:pgMar w:left="320" w:top="111" w:right="579" w:bottom="0" w:gutter="0" w:footer="0" w:header="0"/>
          <w:type w:val="continuous"/>
        </w:sectPr>
      </w:pPr>
    </w:p>
    <w:bookmarkStart w:id="2" w:name="page3"/>
    <w:bookmarkEnd w:id="2"/>
    <w:p>
      <w:pPr>
        <w:ind w:left="1160" w:right="4180" w:hanging="1112"/>
        <w:spacing w:after="0" w:line="371" w:lineRule="auto"/>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423,042,773.00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77.05 %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information set forth herein regarding percentages of beneficial ownership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upon information obtained from the Issuer regarding the 549,072,416 Ordinary Shares issued and outstanding as of March 13, 2026 following the completion of certain transactions reported in the Issuer's prospectus supplement filed pursuant to Rule 424(b)(7) with the Commission on March 12,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4040"/>
        <w:spacing w:after="0" w:line="312" w:lineRule="auto"/>
        <w:rPr>
          <w:sz w:val="20"/>
          <w:szCs w:val="20"/>
          <w:color w:val="auto"/>
        </w:rPr>
      </w:pPr>
      <w:r>
        <w:rPr>
          <w:rFonts w:ascii="Times New Roman" w:cs="Times New Roman" w:eastAsia="Times New Roman" w:hAnsi="Times New Roman"/>
          <w:sz w:val="21"/>
          <w:szCs w:val="21"/>
          <w:color w:val="auto"/>
        </w:rPr>
        <w:t>Mubadala Technology Investments (Mubadala Technology) LLC Check the appropriate box if a member of a Group (see instructions)</w:t>
      </w:r>
    </w:p>
    <w:p>
      <w:pPr>
        <w:ind w:left="1160" w:hanging="1112"/>
        <w:spacing w:after="0" w:line="206" w:lineRule="auto"/>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111" w:right="459" w:bottom="302"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ARAB EMIRATES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423,042,773.00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423,042,773.00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423,042,773.00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100" w:space="60"/>
            <w:col w:w="9960"/>
          </w:cols>
          <w:pgMar w:left="320" w:top="111" w:right="459" w:bottom="302" w:gutter="0" w:footer="0" w:header="0"/>
          <w:type w:val="continuous"/>
        </w:sectPr>
      </w:pPr>
    </w:p>
    <w:bookmarkStart w:id="3" w:name="page4"/>
    <w:bookmarkEnd w:id="3"/>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information set forth herein regarding percentages of beneficial ownership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upon information obtained from the Issuer regarding the 549,072,416 Ordinary Shares issued and outstanding as of March 13, 2026 following the completion of certain transactions reported in the Issuer's prospectus supplement filed pursuant to Rule 424(b)(7) with the Commission on March 12, 2026.</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Mubadala Technology Investment Company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108"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4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0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308,740,704.00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308,740,704.00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308,740,704.00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60"/>
          </w:cols>
          <w:pgMar w:left="320" w:top="108" w:right="45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information set forth herein regarding percentages of beneficial ownership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upon information obtained from the Issuer regarding the 549,072,416 Ordinary Shares issued and outstanding as of March 13, 2026 following the completion of certain transactions reported in the Issuer's prospectus supplement filed pursuant to Rule 424(b)(7) with the Commission on March 12,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1120"/>
          </w:cols>
          <w:pgMar w:left="320" w:top="108" w:right="45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1120"/>
          </w:cols>
          <w:pgMar w:left="320" w:top="108" w:right="45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MTI International Investment Company LLC</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112"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ARAB EMIRATES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114,302,069.00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114,302,069.00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114,302,069.00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60"/>
          </w:cols>
          <w:pgMar w:left="320" w:top="112" w:right="45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information set forth herein regarding percentages of beneficial ownership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upon information obtained from the Issuer regarding the 549,072,416 Ordinary Shares issued and outstanding as of March 13, 2026 following the completion of certain transactions reported in the Issuer's prospectus supplement filed pursuant to Rule 424(b)(7) with the Commission on March 12,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GLOBALFOUNDRIES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400 Stonebreak Road Extension, Malta, New York 12020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80" w:hanging="912"/>
        <w:spacing w:after="0" w:line="244" w:lineRule="auto"/>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Mubadala Investment Company PJSC (ii) Mamoura Diversified Global Holding PJSC (iii) Mubadala Technology Investments (Mubadala Technology) LLC (iv) Mubadala Technology Investment Company (v) MTI International Investment Company LLC</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hanging="912"/>
        <w:spacing w:after="0" w:line="193" w:lineRule="auto"/>
        <w:tabs>
          <w:tab w:leader="none" w:pos="96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 Mamoura A Building Abu Dhabi, 45005 United Arab Emirates (ii) Mamoura A Building Abu Dhabi, 45005 United Arab Emirates (iii) Mamoura A Building Abu Dhabi, 45005 United Arab Emirates (iv) Maples Corporate Services Limited, PO Box 309, Ugland House, Grand Cayman, KY1-1104, Cayman Islands (v) Mamoura A Building Abu Dhabi, 45005 United Arab Emirates</w:t>
      </w:r>
    </w:p>
    <w:p>
      <w:pPr>
        <w:sectPr>
          <w:pgSz w:w="11900" w:h="16838" w:orient="portrait"/>
          <w:cols w:equalWidth="0" w:num="1">
            <w:col w:w="11120"/>
          </w:cols>
          <w:pgMar w:left="320" w:top="112" w:right="459" w:bottom="0" w:gutter="0" w:footer="0" w:header="0"/>
          <w:type w:val="continuous"/>
        </w:sectPr>
      </w:pPr>
    </w:p>
    <w:bookmarkStart w:id="5" w:name="page6"/>
    <w:bookmarkEnd w:id="5"/>
    <w:p>
      <w:pPr>
        <w:ind w:left="920" w:hanging="912"/>
        <w:spacing w:after="0"/>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w:t>
      </w:r>
    </w:p>
    <w:p>
      <w:pPr>
        <w:sectPr>
          <w:pgSz w:w="11900" w:h="16838" w:orient="portrait"/>
          <w:cols w:equalWidth="0" w:num="1">
            <w:col w:w="10860"/>
          </w:cols>
          <w:pgMar w:left="360" w:top="111" w:right="6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3740" w:firstLine="6"/>
        <w:spacing w:after="0" w:line="309" w:lineRule="auto"/>
        <w:tabs>
          <w:tab w:leader="none" w:pos="25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refer to Item 4 on each cover page for each Reporting Person.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$0.02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0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4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9940"/>
          </w:cols>
          <w:pgMar w:left="360" w:top="111" w:right="67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Information with respect to the Reporting Persons' ownership as of March 31, 2026 is incorporated by reference to item (9) of the cover page for each Reporting Person. Subsequent to March 31, 2026, but prior to the filing of this Schedule 13G/A, Mubadala Technology Investment Company disposed of 1,469,017 Ordinary Shares of the Issuer (corresponding to approximately 0.27% of the outstanding Ordinary Shares as of the filing date).</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responses to Item 11 on each cover page. %</w:t>
      </w:r>
    </w:p>
    <w:p>
      <w:pPr>
        <w:spacing w:after="0" w:line="20"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0860"/>
          </w:cols>
          <w:pgMar w:left="360" w:top="111" w:right="6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120" w:firstLine="6"/>
        <w:spacing w:after="0" w:line="509" w:lineRule="auto"/>
        <w:tabs>
          <w:tab w:leader="none" w:pos="25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responses to Item 5 on each cover page.</w:t>
      </w:r>
    </w:p>
    <w:p>
      <w:pPr>
        <w:spacing w:after="0" w:line="1" w:lineRule="exact"/>
        <w:rPr>
          <w:rFonts w:ascii="Times New Roman" w:cs="Times New Roman" w:eastAsia="Times New Roman" w:hAnsi="Times New Roman"/>
          <w:sz w:val="21"/>
          <w:szCs w:val="21"/>
          <w:color w:val="auto"/>
        </w:rPr>
      </w:pPr>
    </w:p>
    <w:p>
      <w:pPr>
        <w:ind w:right="5960" w:firstLine="6"/>
        <w:spacing w:after="0" w:line="509" w:lineRule="auto"/>
        <w:tabs>
          <w:tab w:leader="none" w:pos="31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responses to Item 6 on each cover page.</w:t>
      </w:r>
    </w:p>
    <w:p>
      <w:pPr>
        <w:spacing w:after="0" w:line="1" w:lineRule="exact"/>
        <w:rPr>
          <w:rFonts w:ascii="Times New Roman" w:cs="Times New Roman" w:eastAsia="Times New Roman" w:hAnsi="Times New Roman"/>
          <w:sz w:val="21"/>
          <w:szCs w:val="21"/>
          <w:color w:val="auto"/>
        </w:rPr>
      </w:pPr>
    </w:p>
    <w:p>
      <w:pPr>
        <w:ind w:right="5040" w:firstLine="6"/>
        <w:spacing w:after="0" w:line="486" w:lineRule="auto"/>
        <w:tabs>
          <w:tab w:leader="none" w:pos="37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responses to Item 7 on each cover page.</w:t>
      </w:r>
    </w:p>
    <w:p>
      <w:pPr>
        <w:spacing w:after="0" w:line="1" w:lineRule="exact"/>
        <w:rPr>
          <w:rFonts w:ascii="Times New Roman" w:cs="Times New Roman" w:eastAsia="Times New Roman" w:hAnsi="Times New Roman"/>
          <w:sz w:val="22"/>
          <w:szCs w:val="22"/>
          <w:color w:val="auto"/>
        </w:rPr>
      </w:pPr>
    </w:p>
    <w:p>
      <w:pPr>
        <w:ind w:right="4840" w:firstLine="6"/>
        <w:spacing w:after="0" w:line="486" w:lineRule="auto"/>
        <w:tabs>
          <w:tab w:leader="none" w:pos="36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responses to Item 8 on each cover page.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9940"/>
          </w:cols>
          <w:pgMar w:left="360" w:top="111" w:right="679" w:bottom="0" w:gutter="0" w:footer="0" w:header="0"/>
          <w:type w:val="continuous"/>
        </w:sectPr>
      </w:pPr>
    </w:p>
    <w:bookmarkStart w:id="6" w:name="page7"/>
    <w:bookmarkEnd w:id="6"/>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Mubadala Investment Company PJSC</w:t>
      </w:r>
    </w:p>
    <w:p>
      <w:pPr>
        <w:spacing w:after="0" w:line="152"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Hernan Daniel Pellegrini</w:t>
      </w:r>
    </w:p>
    <w:p>
      <w:pPr>
        <w:spacing w:after="0" w:line="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Name/Title: Hernan Daniel Pellegrini / Authorized Signatory</w:t>
      </w:r>
    </w:p>
    <w:p>
      <w:pPr>
        <w:spacing w:after="0" w:line="44"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5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Mamoura Diversified Global Holding PJSC</w:t>
      </w:r>
    </w:p>
    <w:p>
      <w:pPr>
        <w:spacing w:after="0" w:line="152"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Hernan Daniel Pellegrini</w:t>
      </w:r>
    </w:p>
    <w:p>
      <w:pPr>
        <w:spacing w:after="0" w:line="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Name/Title: Hernan Daniel Pellegrini / Authorized Signatory</w:t>
      </w:r>
    </w:p>
    <w:p>
      <w:pPr>
        <w:spacing w:after="0" w:line="44"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Mubadala Technology Investments (Mubadala Technology)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w:t>
      </w:r>
    </w:p>
    <w:p>
      <w:pPr>
        <w:spacing w:after="0" w:line="128"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Hernan Daniel Pellegrini</w:t>
      </w:r>
    </w:p>
    <w:p>
      <w:pPr>
        <w:spacing w:after="0" w:line="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Name/Title: Hernan Daniel Pellegrini / Authorized Signatory</w:t>
      </w:r>
    </w:p>
    <w:p>
      <w:pPr>
        <w:spacing w:after="0" w:line="44"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5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Mubadala Technology Investment Company</w:t>
      </w:r>
    </w:p>
    <w:p>
      <w:pPr>
        <w:spacing w:after="0" w:line="152"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Hernan Daniel Pellegrini</w:t>
      </w:r>
    </w:p>
    <w:p>
      <w:pPr>
        <w:spacing w:after="0" w:line="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Name/Title: Hernan Daniel Pellegrini / Authorized Signatory</w:t>
      </w:r>
    </w:p>
    <w:p>
      <w:pPr>
        <w:spacing w:after="0" w:line="44"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MTI International Investment Company LLC</w:t>
      </w:r>
    </w:p>
    <w:p>
      <w:pPr>
        <w:spacing w:after="0" w:line="152"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Hernan Daniel Pellegrini</w:t>
      </w:r>
    </w:p>
    <w:p>
      <w:pPr>
        <w:spacing w:after="0" w:line="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Name/Title: Hernan Daniel Pellegrini / Authorized Signatory</w:t>
      </w:r>
    </w:p>
    <w:p>
      <w:pPr>
        <w:spacing w:after="0" w:line="44"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Exhibit Index Exhibit 1 Agreement of Joint Filing as required by Rule 13d-1(k)(1) under the Act.* * Incorporated by reference to the Agreement of Joint Filing by Mubadala Investment Company PJSC, Mamoura Diversified Global Holding PJSC, Mubadala Technology Investments LLC, Mubadala Technology Investment Company and MTI International Investment Company LLC dated February 11, 2022, which was previously filed with the Commission as Exhibit to Schedule 13G filed by Mubadala Investment Company PJSC, Mamoura Diversified Global Holding PJSC, Mubadala Technology Investments LLC, Mubadala Technology Investment Company and MTI International Investment Company LLC on February 11, 2022 with respect to the shares of GLOBALFOUNDRIES Inc.</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5"/>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9"/>
      <w:numFmt w:val="bullet"/>
      <w:start w:val="1"/>
    </w:lvl>
  </w:abstractNum>
  <w:abstractNum w:abstractNumId="6">
    <w:nsid w:val="1190CDE7"/>
    <w:multiLevelType w:val="hybridMultilevel"/>
    <w:lvl w:ilvl="0">
      <w:lvlJc w:val="left"/>
      <w:lvlText w:val="2"/>
      <w:numFmt w:val="bullet"/>
      <w:start w:val="1"/>
    </w:lvl>
  </w:abstractNum>
  <w:abstractNum w:abstractNumId="7">
    <w:nsid w:val="66EF438D"/>
    <w:multiLevelType w:val="hybridMultilevel"/>
    <w:lvl w:ilvl="0">
      <w:lvlJc w:val="left"/>
      <w:lvlText w:val="2"/>
      <w:numFmt w:val="bullet"/>
      <w:start w:val="1"/>
    </w:lvl>
  </w:abstractNum>
  <w:abstractNum w:abstractNumId="8">
    <w:nsid w:val="140E0F76"/>
    <w:multiLevelType w:val="hybridMultilevel"/>
    <w:lvl w:ilvl="0">
      <w:lvlJc w:val="left"/>
      <w:lvlText w:val="1"/>
      <w:numFmt w:val="bullet"/>
      <w:start w:val="1"/>
    </w:lvl>
  </w:abstractNum>
  <w:abstractNum w:abstractNumId="9">
    <w:nsid w:val="3352255A"/>
    <w:multiLevelType w:val="hybridMultilevel"/>
    <w:lvl w:ilvl="0">
      <w:lvlJc w:val="left"/>
      <w:lvlText w:val="2"/>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3"/>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2026-04-27T09:34:00Z</dcterms:created>
  <dcterms:modified xsi:type="dcterms:W3CDTF">2026-04-27T09:34:00Z</dcterms:modified>
</cp:coreProperties>
</file>