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Vicari Samuel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STONE BREAK ROAD EXTENSION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GLOBALFOUNDRIES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GFS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Customer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MALTA</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12020</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Restricted Share Units</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80"/>
              <w:spacing w:after="0" w:line="320" w:lineRule="exact"/>
              <w:rPr>
                <w:sz w:val="20"/>
                <w:szCs w:val="20"/>
                <w:color w:val="auto"/>
              </w:rPr>
            </w:pPr>
            <w:r>
              <w:rPr>
                <w:rFonts w:ascii="Times New Roman" w:cs="Times New Roman" w:eastAsia="Times New Roman" w:hAnsi="Times New Roman"/>
                <w:sz w:val="34"/>
                <w:szCs w:val="34"/>
                <w:color w:val="0000FF"/>
                <w:vertAlign w:val="subscript"/>
              </w:rPr>
              <w:t>43,455</w:t>
            </w:r>
            <w:r>
              <w:rPr>
                <w:rFonts w:ascii="Times New Roman" w:cs="Times New Roman" w:eastAsia="Times New Roman" w:hAnsi="Times New Roman"/>
                <w:sz w:val="11"/>
                <w:szCs w:val="11"/>
                <w:color w:val="008000"/>
              </w:rPr>
              <w:t>(1)(2)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1,461</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44.48</w:t>
            </w:r>
          </w:p>
        </w:tc>
        <w:tc>
          <w:tcPr>
            <w:tcW w:w="120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8,692</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vesting and settlement of restricted stock units (RSUs) into 4,094 ordinary shares on April 1, 2026.</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26,316 of which vest in equal installments on March 1, 2027, 2028 and 2029, 13,044 of which vest on March 1, 2027 and 2028 and 4,095 of which vest on April 1, 2027, subject to the Reporting Person's continuous service through each such vesting date. Each RSU represents a contingent right to receive one share of the Issuer's ordinary shares upon settlement.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shares by the issuer to satisfy the reporting person's tax withholding obligations in connection with the vesting and settlement of RSUs.</w:t>
      </w:r>
    </w:p>
    <w:p>
      <w:pPr>
        <w:sectPr>
          <w:pgSz w:w="11900" w:h="16838" w:orient="portrait"/>
          <w:cols w:equalWidth="0" w:num="1">
            <w:col w:w="11080"/>
          </w:cols>
          <w:pgMar w:left="460" w:top="219" w:right="359" w:bottom="1440" w:gutter="0" w:footer="0" w:header="0"/>
          <w:type w:val="continuous"/>
        </w:sectPr>
      </w:pP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Jeff Worth,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7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 for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15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2441" TargetMode="External"/><Relationship Id="rId14" Type="http://schemas.openxmlformats.org/officeDocument/2006/relationships/hyperlink" Target="http://www.sec.gov/cgi-bin/browse-edgar?action=getcompany&amp;CIK=00017090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2026-04-03T13:23:21Z</dcterms:created>
  <dcterms:modified xsi:type="dcterms:W3CDTF">2026-04-03T13:23:21Z</dcterms:modified>
</cp:coreProperties>
</file>